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BA69" w14:textId="3643063C" w:rsidR="00F02B2D" w:rsidRPr="00F02B2D" w:rsidRDefault="00F02B2D" w:rsidP="00F02B2D">
      <w:pPr>
        <w:pStyle w:val="Header"/>
        <w:tabs>
          <w:tab w:val="right" w:pos="9781"/>
          <w:tab w:val="right" w:pos="13323"/>
        </w:tabs>
        <w:spacing w:before="60" w:after="60"/>
        <w:outlineLvl w:val="0"/>
        <w:rPr>
          <w:rFonts w:ascii="Arial" w:eastAsia="SimSun" w:hAnsi="Arial" w:cs="Arial"/>
          <w:b/>
          <w:sz w:val="24"/>
          <w:szCs w:val="24"/>
          <w:lang w:eastAsia="zh-CN"/>
        </w:rPr>
      </w:pPr>
      <w:r w:rsidRPr="00F02B2D">
        <w:rPr>
          <w:rFonts w:ascii="Arial" w:eastAsia="SimSun" w:hAnsi="Arial" w:cs="Arial"/>
          <w:b/>
          <w:sz w:val="24"/>
          <w:szCs w:val="24"/>
          <w:lang w:eastAsia="zh-CN"/>
        </w:rPr>
        <w:t>3GPP TSG-RAN WG4 Meeting #112bis</w:t>
      </w:r>
      <w:r w:rsidRPr="00F02B2D">
        <w:rPr>
          <w:rFonts w:ascii="Arial" w:eastAsia="SimSun" w:hAnsi="Arial" w:cs="Arial"/>
          <w:b/>
          <w:sz w:val="24"/>
          <w:szCs w:val="24"/>
          <w:lang w:eastAsia="zh-CN"/>
        </w:rPr>
        <w:tab/>
      </w:r>
      <w:r w:rsidRPr="00F02B2D">
        <w:rPr>
          <w:rFonts w:ascii="Arial" w:eastAsia="SimSun" w:hAnsi="Arial" w:cs="Arial"/>
          <w:b/>
          <w:sz w:val="24"/>
          <w:szCs w:val="24"/>
          <w:lang w:eastAsia="zh-CN"/>
        </w:rPr>
        <w:tab/>
      </w:r>
      <w:r w:rsidR="007B07B3" w:rsidRPr="007B07B3">
        <w:rPr>
          <w:rFonts w:ascii="Arial" w:eastAsia="SimSun" w:hAnsi="Arial" w:cs="Arial"/>
          <w:b/>
          <w:sz w:val="24"/>
          <w:szCs w:val="24"/>
          <w:lang w:eastAsia="zh-CN"/>
        </w:rPr>
        <w:t>R4-2415579</w:t>
      </w:r>
    </w:p>
    <w:p w14:paraId="723839BF" w14:textId="778E3D1C" w:rsidR="00E27431" w:rsidRPr="0052514D" w:rsidRDefault="00F02B2D" w:rsidP="00F02B2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F02B2D">
        <w:rPr>
          <w:rFonts w:ascii="Arial" w:eastAsia="SimSun" w:hAnsi="Arial" w:cs="Arial"/>
          <w:b/>
          <w:sz w:val="24"/>
          <w:szCs w:val="24"/>
          <w:lang w:eastAsia="zh-CN"/>
        </w:rPr>
        <w:t>Hefei, Anhui, China, 14th – 18th October, 2024</w:t>
      </w: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82B029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 xml:space="preserve">Views on MPR </w:t>
      </w:r>
      <w:r w:rsidR="0093578A">
        <w:rPr>
          <w:rFonts w:ascii="Arial" w:hAnsi="Arial" w:cs="Arial"/>
          <w:sz w:val="21"/>
          <w:szCs w:val="21"/>
          <w:lang w:val="en-US"/>
        </w:rPr>
        <w:t>Reduction</w:t>
      </w:r>
    </w:p>
    <w:p w14:paraId="1F00BD00" w14:textId="67A1E0C3" w:rsidR="00DD0FC1" w:rsidRPr="00671360" w:rsidRDefault="00DD0FC1" w:rsidP="009918C2">
      <w:pPr>
        <w:spacing w:after="120"/>
        <w:ind w:left="1985" w:hanging="1985"/>
        <w:jc w:val="both"/>
        <w:rPr>
          <w:rFonts w:ascii="Arial" w:hAnsi="Arial" w:cs="Arial"/>
          <w:bCs/>
          <w:lang w:val="en-SE"/>
        </w:rPr>
      </w:pPr>
      <w:r w:rsidRPr="00111412">
        <w:rPr>
          <w:rFonts w:ascii="Arial" w:hAnsi="Arial" w:cs="Arial"/>
          <w:b/>
          <w:lang w:val="en-US"/>
        </w:rPr>
        <w:t>Agenda item:</w:t>
      </w:r>
      <w:r w:rsidRPr="00111412">
        <w:rPr>
          <w:rFonts w:ascii="Arial" w:hAnsi="Arial" w:cs="Arial"/>
          <w:b/>
          <w:lang w:val="en-US"/>
        </w:rPr>
        <w:tab/>
      </w:r>
      <w:r w:rsidR="00720BF0">
        <w:rPr>
          <w:rFonts w:ascii="Arial" w:hAnsi="Arial" w:cs="Arial"/>
          <w:lang w:val="en-SE"/>
        </w:rPr>
        <w:t>6</w:t>
      </w:r>
      <w:r w:rsidR="00737550">
        <w:rPr>
          <w:rFonts w:ascii="Arial" w:hAnsi="Arial" w:cs="Arial"/>
          <w:lang w:val="en-US"/>
        </w:rPr>
        <w:t>.1.1.</w:t>
      </w:r>
      <w:r w:rsidR="00671360">
        <w:rPr>
          <w:rFonts w:ascii="Arial" w:hAnsi="Arial" w:cs="Arial"/>
          <w:lang w:val="en-SE"/>
        </w:rPr>
        <w:t>2.1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18C9055" w14:textId="55CAE5E6" w:rsidR="005E40F1" w:rsidRPr="00F561DA" w:rsidRDefault="005E40F1" w:rsidP="002F5DFB">
      <w:pPr>
        <w:pStyle w:val="BodyText"/>
        <w:jc w:val="both"/>
        <w:rPr>
          <w:rFonts w:eastAsia="MS Mincho"/>
          <w:lang w:val="en-SE"/>
        </w:rPr>
      </w:pPr>
      <w:r w:rsidRPr="0093578A">
        <w:rPr>
          <w:rFonts w:eastAsia="MS Mincho"/>
        </w:rPr>
        <w:t>In RAN4</w:t>
      </w:r>
      <w:r w:rsidR="00C95136" w:rsidRPr="0093578A">
        <w:rPr>
          <w:rFonts w:eastAsia="MS Mincho"/>
        </w:rPr>
        <w:t>#11</w:t>
      </w:r>
      <w:r w:rsidR="00F02B2D">
        <w:rPr>
          <w:rFonts w:eastAsia="MS Mincho"/>
          <w:lang w:val="en-SE"/>
        </w:rPr>
        <w:t>2</w:t>
      </w:r>
      <w:r w:rsidR="00C95136" w:rsidRPr="0093578A">
        <w:rPr>
          <w:rFonts w:eastAsia="MS Mincho"/>
        </w:rPr>
        <w:t>, the enhancement o</w:t>
      </w:r>
      <w:r w:rsidR="0093578A">
        <w:rPr>
          <w:rFonts w:eastAsia="MS Mincho"/>
        </w:rPr>
        <w:t>f</w:t>
      </w:r>
      <w:r w:rsidR="00C95136" w:rsidRPr="0093578A">
        <w:rPr>
          <w:rFonts w:eastAsia="MS Mincho"/>
        </w:rPr>
        <w:t xml:space="preserve"> the power domain via relaxed ACLR has been further discussed</w:t>
      </w:r>
      <w:r w:rsidR="001F2645">
        <w:rPr>
          <w:rFonts w:eastAsia="MS Mincho"/>
          <w:lang w:val="en-SE"/>
        </w:rPr>
        <w:t xml:space="preserve"> [1]</w:t>
      </w:r>
      <w:r w:rsidR="00C95136" w:rsidRPr="0093578A">
        <w:rPr>
          <w:rFonts w:eastAsia="MS Mincho"/>
        </w:rPr>
        <w:t xml:space="preserve">, and a WF </w:t>
      </w:r>
      <w:r w:rsidR="001F2645">
        <w:rPr>
          <w:rFonts w:eastAsia="MS Mincho"/>
          <w:lang w:val="en-SE"/>
        </w:rPr>
        <w:t xml:space="preserve">[2] </w:t>
      </w:r>
      <w:r w:rsidR="00C95136" w:rsidRPr="0093578A">
        <w:rPr>
          <w:rFonts w:eastAsia="MS Mincho"/>
        </w:rPr>
        <w:t xml:space="preserve">is agreed </w:t>
      </w:r>
      <w:r w:rsidR="001F2645">
        <w:rPr>
          <w:rFonts w:eastAsia="MS Mincho"/>
          <w:lang w:val="en-SE"/>
        </w:rPr>
        <w:t>which</w:t>
      </w:r>
      <w:r w:rsidR="006D7A87" w:rsidRPr="0093578A">
        <w:rPr>
          <w:rFonts w:eastAsia="MS Mincho"/>
        </w:rPr>
        <w:t xml:space="preserve"> mainly focuse</w:t>
      </w:r>
      <w:r w:rsidR="001F2645">
        <w:rPr>
          <w:rFonts w:eastAsia="MS Mincho"/>
        </w:rPr>
        <w:t>s</w:t>
      </w:r>
      <w:r w:rsidR="006D7A87" w:rsidRPr="0093578A">
        <w:rPr>
          <w:rFonts w:eastAsia="MS Mincho"/>
        </w:rPr>
        <w:t xml:space="preserve"> on</w:t>
      </w:r>
      <w:r w:rsidR="001F2645" w:rsidRPr="0093578A">
        <w:rPr>
          <w:rFonts w:eastAsia="MS Mincho"/>
        </w:rPr>
        <w:t xml:space="preserve"> the approach that convert</w:t>
      </w:r>
      <w:r w:rsidR="001F2645">
        <w:rPr>
          <w:rFonts w:eastAsia="MS Mincho"/>
        </w:rPr>
        <w:t>s</w:t>
      </w:r>
      <w:r w:rsidR="001F2645" w:rsidRPr="0093578A">
        <w:rPr>
          <w:rFonts w:eastAsia="MS Mincho"/>
        </w:rPr>
        <w:t xml:space="preserve"> full RB allocation in UE CBW to </w:t>
      </w:r>
      <w:r w:rsidR="0081593C">
        <w:rPr>
          <w:rFonts w:eastAsia="MS Mincho"/>
        </w:rPr>
        <w:t>“</w:t>
      </w:r>
      <w:r w:rsidR="001F2645" w:rsidRPr="0093578A">
        <w:rPr>
          <w:rFonts w:eastAsia="MS Mincho"/>
        </w:rPr>
        <w:t>inner RB allocation</w:t>
      </w:r>
      <w:r w:rsidR="0081593C">
        <w:rPr>
          <w:rFonts w:eastAsia="MS Mincho"/>
        </w:rPr>
        <w:t>”</w:t>
      </w:r>
      <w:r w:rsidR="00C41098" w:rsidRPr="0093578A">
        <w:rPr>
          <w:rFonts w:eastAsia="MS Mincho"/>
        </w:rPr>
        <w:t xml:space="preserve"> </w:t>
      </w:r>
      <w:r w:rsidR="001F2645" w:rsidRPr="0093578A">
        <w:rPr>
          <w:rFonts w:eastAsia="MS Mincho"/>
        </w:rPr>
        <w:t xml:space="preserve">with an </w:t>
      </w:r>
      <w:r w:rsidR="00B64F9E">
        <w:rPr>
          <w:rFonts w:eastAsia="MS Mincho"/>
        </w:rPr>
        <w:t>new emission bandwidth</w:t>
      </w:r>
      <w:r w:rsidR="00F561DA">
        <w:rPr>
          <w:rFonts w:eastAsia="MS Mincho"/>
          <w:lang w:val="en-SE"/>
        </w:rPr>
        <w:t>.</w:t>
      </w:r>
    </w:p>
    <w:p w14:paraId="3FCE6358" w14:textId="47D9ECA2" w:rsidR="006B2ED2" w:rsidRPr="006B2ED2" w:rsidRDefault="006B2ED2" w:rsidP="006B2ED2">
      <w:pPr>
        <w:pStyle w:val="BodyText"/>
        <w:jc w:val="both"/>
        <w:rPr>
          <w:rFonts w:eastAsia="MS Mincho"/>
        </w:rPr>
      </w:pPr>
      <w:r w:rsidRPr="006B2ED2">
        <w:rPr>
          <w:rFonts w:eastAsia="MS Mincho"/>
        </w:rPr>
        <w:t xml:space="preserve">In this contribution, we provide our </w:t>
      </w:r>
      <w:r w:rsidR="00481756">
        <w:rPr>
          <w:rFonts w:eastAsia="MS Mincho"/>
        </w:rPr>
        <w:t xml:space="preserve">further </w:t>
      </w:r>
      <w:r w:rsidRPr="006B2ED2">
        <w:rPr>
          <w:rFonts w:eastAsia="MS Mincho"/>
        </w:rPr>
        <w:t>views on the MPR reduction via relaxed ACLR/SEM/spurious emission modification</w:t>
      </w:r>
      <w:r w:rsidR="005A7FBB">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F0451C7" w14:textId="7F47DDB8" w:rsidR="00323070" w:rsidRDefault="00323070" w:rsidP="00323070">
      <w:pPr>
        <w:pStyle w:val="Heading1"/>
        <w:numPr>
          <w:ilvl w:val="0"/>
          <w:numId w:val="8"/>
        </w:numPr>
        <w:jc w:val="both"/>
        <w:rPr>
          <w:b w:val="0"/>
          <w:lang w:val="en-US"/>
        </w:rPr>
      </w:pPr>
      <w:bookmarkStart w:id="0" w:name="_Hlk8895418"/>
      <w:r>
        <w:rPr>
          <w:b w:val="0"/>
          <w:lang w:val="en-SE"/>
        </w:rPr>
        <w:t>Mechanism</w:t>
      </w:r>
      <w:r w:rsidRPr="00BA6A28">
        <w:rPr>
          <w:b w:val="0"/>
          <w:lang w:val="en-US"/>
        </w:rPr>
        <w:t xml:space="preserve"> for MPR r</w:t>
      </w:r>
      <w:r>
        <w:rPr>
          <w:b w:val="0"/>
          <w:lang w:val="en-US"/>
        </w:rPr>
        <w:t>eduction</w:t>
      </w:r>
      <w:r w:rsidR="00510721">
        <w:rPr>
          <w:b w:val="0"/>
          <w:lang w:val="en-US"/>
        </w:rPr>
        <w:t xml:space="preserve"> via a new emission BW</w:t>
      </w:r>
    </w:p>
    <w:p w14:paraId="344B0C0D" w14:textId="09FD1BEE" w:rsidR="001239D0" w:rsidRDefault="00323070" w:rsidP="00A93C19">
      <w:pPr>
        <w:pStyle w:val="BodyText"/>
        <w:jc w:val="both"/>
        <w:rPr>
          <w:lang w:val="en-US"/>
        </w:rPr>
      </w:pPr>
      <w:r>
        <w:rPr>
          <w:lang w:val="en-US"/>
        </w:rPr>
        <w:t xml:space="preserve">In RAN4#112, the approach of defining a </w:t>
      </w:r>
      <w:r w:rsidR="0081593C">
        <w:rPr>
          <w:lang w:val="en-US"/>
        </w:rPr>
        <w:t>“</w:t>
      </w:r>
      <w:r w:rsidR="00250CB0">
        <w:rPr>
          <w:lang w:val="en-US"/>
        </w:rPr>
        <w:t xml:space="preserve">new emission </w:t>
      </w:r>
      <w:r w:rsidR="00A20619">
        <w:rPr>
          <w:lang w:val="en-US"/>
        </w:rPr>
        <w:t>BW</w:t>
      </w:r>
      <w:r w:rsidR="0081593C">
        <w:rPr>
          <w:lang w:val="en-US"/>
        </w:rPr>
        <w:t>”</w:t>
      </w:r>
      <w:r w:rsidR="00C41098">
        <w:rPr>
          <w:lang w:val="en-US"/>
        </w:rPr>
        <w:t xml:space="preserve"> </w:t>
      </w:r>
      <w:r w:rsidR="00BE2419">
        <w:rPr>
          <w:lang w:val="en-US"/>
        </w:rPr>
        <w:t xml:space="preserve">to scale the emission limit </w:t>
      </w:r>
      <w:r w:rsidR="00C41098">
        <w:rPr>
          <w:lang w:val="en-US"/>
        </w:rPr>
        <w:t>w</w:t>
      </w:r>
      <w:r w:rsidR="001239D0">
        <w:rPr>
          <w:lang w:val="en-US"/>
        </w:rPr>
        <w:t>as</w:t>
      </w:r>
      <w:r w:rsidR="00BE2419">
        <w:rPr>
          <w:lang w:val="en-US"/>
        </w:rPr>
        <w:t xml:space="preserve"> discussed intensively. </w:t>
      </w:r>
      <w:r w:rsidR="00610B52">
        <w:rPr>
          <w:lang w:val="en-US"/>
        </w:rPr>
        <w:t xml:space="preserve">In principle, </w:t>
      </w:r>
      <w:r w:rsidR="00CD63D6">
        <w:rPr>
          <w:lang w:val="en-US"/>
        </w:rPr>
        <w:t xml:space="preserve">the applicable frequencies of </w:t>
      </w:r>
      <w:r w:rsidR="00610B52">
        <w:rPr>
          <w:lang w:val="en-US"/>
        </w:rPr>
        <w:t>emission limits</w:t>
      </w:r>
      <w:r w:rsidR="00C2144A">
        <w:rPr>
          <w:lang w:val="en-US"/>
        </w:rPr>
        <w:t xml:space="preserve"> (both in-band and out</w:t>
      </w:r>
      <w:r w:rsidR="00C41098">
        <w:rPr>
          <w:lang w:val="en-US"/>
        </w:rPr>
        <w:t>-of-</w:t>
      </w:r>
      <w:r w:rsidR="00C2144A">
        <w:rPr>
          <w:lang w:val="en-US"/>
        </w:rPr>
        <w:t>band)</w:t>
      </w:r>
      <w:r w:rsidR="00610B52">
        <w:rPr>
          <w:lang w:val="en-US"/>
        </w:rPr>
        <w:t xml:space="preserve"> </w:t>
      </w:r>
      <w:r w:rsidR="008206D9">
        <w:rPr>
          <w:lang w:val="en-US"/>
        </w:rPr>
        <w:t xml:space="preserve">in 3GPP </w:t>
      </w:r>
      <w:r w:rsidR="0002747E">
        <w:rPr>
          <w:lang w:val="en-US"/>
        </w:rPr>
        <w:t xml:space="preserve">that depend on </w:t>
      </w:r>
      <w:r w:rsidR="00C41098">
        <w:rPr>
          <w:lang w:val="en-US"/>
        </w:rPr>
        <w:t xml:space="preserve">the </w:t>
      </w:r>
      <w:r w:rsidR="0002747E">
        <w:rPr>
          <w:lang w:val="en-US"/>
        </w:rPr>
        <w:t>UE</w:t>
      </w:r>
      <w:r w:rsidR="00C41098">
        <w:rPr>
          <w:lang w:val="en-US"/>
        </w:rPr>
        <w:t>-specific</w:t>
      </w:r>
      <w:r w:rsidR="0002747E">
        <w:rPr>
          <w:lang w:val="en-US"/>
        </w:rPr>
        <w:t xml:space="preserve"> CBW </w:t>
      </w:r>
      <w:r w:rsidR="00610B52">
        <w:rPr>
          <w:lang w:val="en-US"/>
        </w:rPr>
        <w:t xml:space="preserve">shall be scaled according to this </w:t>
      </w:r>
      <w:r w:rsidR="0081593C">
        <w:rPr>
          <w:lang w:val="en-US"/>
        </w:rPr>
        <w:t>“</w:t>
      </w:r>
      <w:r w:rsidR="00610B52">
        <w:rPr>
          <w:lang w:val="en-US"/>
        </w:rPr>
        <w:t xml:space="preserve">new </w:t>
      </w:r>
      <w:r w:rsidR="00BB231D">
        <w:rPr>
          <w:lang w:val="en-US"/>
        </w:rPr>
        <w:t>emission BW</w:t>
      </w:r>
      <w:r w:rsidR="001239D0">
        <w:rPr>
          <w:lang w:val="en-US"/>
        </w:rPr>
        <w:t>,</w:t>
      </w:r>
      <w:r w:rsidR="0081593C">
        <w:rPr>
          <w:lang w:val="en-US"/>
        </w:rPr>
        <w:t>”</w:t>
      </w:r>
      <w:r w:rsidR="00034281">
        <w:rPr>
          <w:lang w:val="en-US"/>
        </w:rPr>
        <w:t xml:space="preserve"> including IBE, </w:t>
      </w:r>
      <w:r w:rsidR="00A45F71">
        <w:rPr>
          <w:lang w:val="en-US"/>
        </w:rPr>
        <w:t>SEM, ACLR</w:t>
      </w:r>
      <w:r w:rsidR="00C41098">
        <w:rPr>
          <w:lang w:val="en-US"/>
        </w:rPr>
        <w:t>,</w:t>
      </w:r>
      <w:r w:rsidR="00A45F71">
        <w:rPr>
          <w:lang w:val="en-US"/>
        </w:rPr>
        <w:t xml:space="preserve"> </w:t>
      </w:r>
      <w:r w:rsidR="00CD63D6">
        <w:rPr>
          <w:lang w:val="en-US"/>
        </w:rPr>
        <w:t>and SE</w:t>
      </w:r>
      <w:r w:rsidR="008206D9">
        <w:rPr>
          <w:lang w:val="en-US"/>
        </w:rPr>
        <w:t xml:space="preserve">, as illustrated in Fig. 1. </w:t>
      </w:r>
    </w:p>
    <w:p w14:paraId="18963258" w14:textId="28ADCB41" w:rsidR="00D6125A" w:rsidRDefault="00BC0B17" w:rsidP="00323070">
      <w:pPr>
        <w:pStyle w:val="BodyText"/>
        <w:rPr>
          <w:lang w:val="en-US"/>
        </w:rPr>
      </w:pPr>
      <w:r>
        <w:rPr>
          <w:noProof/>
        </w:rPr>
        <w:drawing>
          <wp:inline distT="0" distB="0" distL="0" distR="0" wp14:anchorId="296D27E8" wp14:editId="7EF790B1">
            <wp:extent cx="6264275" cy="3982085"/>
            <wp:effectExtent l="0" t="0" r="3175" b="0"/>
            <wp:docPr id="2183449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982085"/>
                    </a:xfrm>
                    <a:prstGeom prst="rect">
                      <a:avLst/>
                    </a:prstGeom>
                    <a:noFill/>
                    <a:ln>
                      <a:noFill/>
                    </a:ln>
                  </pic:spPr>
                </pic:pic>
              </a:graphicData>
            </a:graphic>
          </wp:inline>
        </w:drawing>
      </w:r>
    </w:p>
    <w:p w14:paraId="161A6D91" w14:textId="21ABB507" w:rsidR="008206D9" w:rsidRPr="00A20619" w:rsidRDefault="009B39ED" w:rsidP="0002747E">
      <w:pPr>
        <w:pStyle w:val="BodyText"/>
        <w:jc w:val="center"/>
        <w:rPr>
          <w:b/>
          <w:bCs/>
          <w:sz w:val="16"/>
          <w:szCs w:val="16"/>
          <w:lang w:val="en-US"/>
        </w:rPr>
      </w:pPr>
      <w:r w:rsidRPr="0060199D">
        <w:rPr>
          <w:b/>
          <w:bCs/>
          <w:sz w:val="16"/>
          <w:szCs w:val="16"/>
          <w:lang w:val="en-US"/>
        </w:rPr>
        <w:t xml:space="preserve">Figure. </w:t>
      </w:r>
      <w:r>
        <w:rPr>
          <w:b/>
          <w:bCs/>
          <w:sz w:val="16"/>
          <w:szCs w:val="16"/>
          <w:lang w:val="en-SE"/>
        </w:rPr>
        <w:t>2</w:t>
      </w:r>
      <w:r w:rsidRPr="0060199D">
        <w:rPr>
          <w:b/>
          <w:bCs/>
          <w:sz w:val="16"/>
          <w:szCs w:val="16"/>
          <w:lang w:val="en-US"/>
        </w:rPr>
        <w:t xml:space="preserve">. </w:t>
      </w:r>
      <w:r w:rsidR="008206D9" w:rsidRPr="00A20619">
        <w:rPr>
          <w:b/>
          <w:bCs/>
          <w:sz w:val="16"/>
          <w:szCs w:val="16"/>
          <w:lang w:val="en-US"/>
        </w:rPr>
        <w:t xml:space="preserve">Illustration of </w:t>
      </w:r>
      <w:r w:rsidR="0002747E" w:rsidRPr="00A20619">
        <w:rPr>
          <w:b/>
          <w:bCs/>
          <w:sz w:val="16"/>
          <w:szCs w:val="16"/>
          <w:lang w:val="en-US"/>
        </w:rPr>
        <w:t>Rel-19 single CC MPR reduction approach based on a new emission bandwidth</w:t>
      </w:r>
    </w:p>
    <w:p w14:paraId="746A6277" w14:textId="1D518D66" w:rsidR="0002747E" w:rsidRPr="004B3A9B" w:rsidRDefault="001239D0" w:rsidP="004B3A9B">
      <w:pPr>
        <w:pStyle w:val="BodyText"/>
        <w:rPr>
          <w:lang w:val="en-US"/>
        </w:rPr>
      </w:pPr>
      <w:r w:rsidRPr="004B3A9B">
        <w:rPr>
          <w:lang w:val="en-US"/>
        </w:rPr>
        <w:t>In our view, such a</w:t>
      </w:r>
      <w:r w:rsidR="005A23EA" w:rsidRPr="004B3A9B">
        <w:rPr>
          <w:lang w:val="en-US"/>
        </w:rPr>
        <w:t>n</w:t>
      </w:r>
      <w:r w:rsidRPr="004B3A9B">
        <w:rPr>
          <w:lang w:val="en-US"/>
        </w:rPr>
        <w:t xml:space="preserve"> approach can effectively reduce the MPR via </w:t>
      </w:r>
      <w:r w:rsidR="00ED72E4" w:rsidRPr="004B3A9B">
        <w:rPr>
          <w:lang w:val="en-US"/>
        </w:rPr>
        <w:t xml:space="preserve">the </w:t>
      </w:r>
      <w:r w:rsidRPr="004B3A9B">
        <w:rPr>
          <w:lang w:val="en-US"/>
        </w:rPr>
        <w:t xml:space="preserve">transfer </w:t>
      </w:r>
      <w:r w:rsidR="005A23EA" w:rsidRPr="004B3A9B">
        <w:rPr>
          <w:lang w:val="en-US"/>
        </w:rPr>
        <w:t xml:space="preserve">of </w:t>
      </w:r>
      <w:r w:rsidRPr="004B3A9B">
        <w:rPr>
          <w:lang w:val="en-US"/>
        </w:rPr>
        <w:t xml:space="preserve">the </w:t>
      </w:r>
      <w:r w:rsidR="00CF4C54" w:rsidRPr="004B3A9B">
        <w:rPr>
          <w:lang w:val="en-US"/>
        </w:rPr>
        <w:t>outer/edge RB allocation in legac</w:t>
      </w:r>
      <w:r w:rsidR="005A23EA" w:rsidRPr="004B3A9B">
        <w:rPr>
          <w:lang w:val="en-US"/>
        </w:rPr>
        <w:t>y</w:t>
      </w:r>
      <w:r w:rsidR="00CF4C54" w:rsidRPr="004B3A9B">
        <w:rPr>
          <w:lang w:val="en-US"/>
        </w:rPr>
        <w:t xml:space="preserve"> UE</w:t>
      </w:r>
      <w:r w:rsidR="00ED72E4">
        <w:rPr>
          <w:lang w:val="en-US"/>
        </w:rPr>
        <w:t>-</w:t>
      </w:r>
      <w:r w:rsidR="00CF4C54" w:rsidRPr="004B3A9B">
        <w:rPr>
          <w:lang w:val="en-US"/>
        </w:rPr>
        <w:t>specific CBW to the inner RB allocation of the new emission BW</w:t>
      </w:r>
      <w:r w:rsidR="00EE6CFC">
        <w:rPr>
          <w:lang w:val="en-US"/>
        </w:rPr>
        <w:t>.</w:t>
      </w:r>
      <w:r w:rsidR="00CF4C54" w:rsidRPr="004B3A9B">
        <w:rPr>
          <w:lang w:val="en-US"/>
        </w:rPr>
        <w:t xml:space="preserve"> </w:t>
      </w:r>
    </w:p>
    <w:p w14:paraId="3F57CE5B" w14:textId="29098E3B" w:rsidR="00F44D5C" w:rsidRDefault="00F44D5C" w:rsidP="00A85127">
      <w:pPr>
        <w:pStyle w:val="BodyText"/>
        <w:rPr>
          <w:b/>
          <w:bCs/>
          <w:lang w:val="en-US"/>
        </w:rPr>
      </w:pPr>
      <w:r>
        <w:rPr>
          <w:b/>
          <w:bCs/>
          <w:lang w:val="en-US"/>
        </w:rPr>
        <w:lastRenderedPageBreak/>
        <w:t xml:space="preserve">Observation 1: </w:t>
      </w:r>
      <w:r w:rsidR="00CD7957">
        <w:rPr>
          <w:b/>
          <w:bCs/>
          <w:lang w:val="en-US"/>
        </w:rPr>
        <w:t xml:space="preserve">The MPR can be reduced </w:t>
      </w:r>
      <w:r w:rsidR="00CD7957" w:rsidRPr="004B3A9B">
        <w:rPr>
          <w:b/>
          <w:bCs/>
          <w:lang w:val="en-US"/>
        </w:rPr>
        <w:t xml:space="preserve">via the transfer of the outer/edge RB allocation in legacy UE-specific CBW to the inner RB allocation of </w:t>
      </w:r>
      <w:r w:rsidR="00CD7957">
        <w:rPr>
          <w:b/>
          <w:bCs/>
          <w:lang w:val="en-US"/>
        </w:rPr>
        <w:t>a</w:t>
      </w:r>
      <w:r w:rsidR="00CD7957" w:rsidRPr="004B3A9B">
        <w:rPr>
          <w:b/>
          <w:bCs/>
          <w:lang w:val="en-US"/>
        </w:rPr>
        <w:t xml:space="preserve"> </w:t>
      </w:r>
      <w:r w:rsidR="00CD7957">
        <w:rPr>
          <w:b/>
          <w:bCs/>
          <w:lang w:val="en-US"/>
        </w:rPr>
        <w:t>“</w:t>
      </w:r>
      <w:r w:rsidR="00CD7957" w:rsidRPr="004B3A9B">
        <w:rPr>
          <w:b/>
          <w:bCs/>
          <w:lang w:val="en-US"/>
        </w:rPr>
        <w:t>new emission BW</w:t>
      </w:r>
      <w:r w:rsidR="00CD7957">
        <w:rPr>
          <w:b/>
          <w:bCs/>
          <w:lang w:val="en-US"/>
        </w:rPr>
        <w:t>”.</w:t>
      </w:r>
    </w:p>
    <w:p w14:paraId="73467AD5" w14:textId="3F4BCBEA" w:rsidR="0002747E" w:rsidRDefault="007A2AA5" w:rsidP="00A85127">
      <w:pPr>
        <w:pStyle w:val="BodyText"/>
        <w:rPr>
          <w:b/>
          <w:bCs/>
          <w:lang w:val="en-US"/>
        </w:rPr>
      </w:pPr>
      <w:r w:rsidRPr="00A85127">
        <w:rPr>
          <w:b/>
          <w:bCs/>
          <w:lang w:val="en-US"/>
        </w:rPr>
        <w:t xml:space="preserve">Proposal 1: </w:t>
      </w:r>
      <w:r w:rsidR="00CD7957">
        <w:rPr>
          <w:b/>
          <w:bCs/>
          <w:lang w:val="en-US"/>
        </w:rPr>
        <w:t>To reduce</w:t>
      </w:r>
      <w:r w:rsidR="00F44D5C">
        <w:rPr>
          <w:b/>
          <w:bCs/>
          <w:lang w:val="en-US"/>
        </w:rPr>
        <w:t xml:space="preserve"> the MPR, d</w:t>
      </w:r>
      <w:r w:rsidR="001239D0">
        <w:rPr>
          <w:b/>
          <w:bCs/>
          <w:lang w:val="en-US"/>
        </w:rPr>
        <w:t>efin</w:t>
      </w:r>
      <w:r w:rsidR="00CD7957">
        <w:rPr>
          <w:b/>
          <w:bCs/>
          <w:lang w:val="en-US"/>
        </w:rPr>
        <w:t>e</w:t>
      </w:r>
      <w:r w:rsidR="001239D0">
        <w:rPr>
          <w:b/>
          <w:bCs/>
          <w:lang w:val="en-US"/>
        </w:rPr>
        <w:t xml:space="preserve"> a new emission BW</w:t>
      </w:r>
      <w:r w:rsidR="00ED72E4">
        <w:rPr>
          <w:b/>
          <w:bCs/>
          <w:lang w:val="en-US"/>
        </w:rPr>
        <w:t>, and scal</w:t>
      </w:r>
      <w:r w:rsidR="00B53D96">
        <w:rPr>
          <w:b/>
          <w:bCs/>
          <w:lang w:val="en-US"/>
        </w:rPr>
        <w:t>e</w:t>
      </w:r>
      <w:r w:rsidR="001239D0">
        <w:rPr>
          <w:b/>
          <w:bCs/>
          <w:lang w:val="en-US"/>
        </w:rPr>
        <w:t xml:space="preserve"> </w:t>
      </w:r>
      <w:r w:rsidR="00DE5B7E">
        <w:rPr>
          <w:b/>
          <w:bCs/>
          <w:lang w:val="en-US"/>
        </w:rPr>
        <w:t>the</w:t>
      </w:r>
      <w:r w:rsidRPr="00A85127">
        <w:rPr>
          <w:b/>
          <w:bCs/>
          <w:lang w:val="en-US"/>
        </w:rPr>
        <w:t xml:space="preserve"> applicable frequencies</w:t>
      </w:r>
      <w:r w:rsidR="00DE5B7E">
        <w:rPr>
          <w:b/>
          <w:bCs/>
          <w:lang w:val="en-US"/>
        </w:rPr>
        <w:t xml:space="preserve"> of general emission limits, including IBE, SEM, ACLR, and SE</w:t>
      </w:r>
      <w:r w:rsidR="00ED72E4">
        <w:rPr>
          <w:b/>
          <w:bCs/>
          <w:lang w:val="en-US"/>
        </w:rPr>
        <w:t>,</w:t>
      </w:r>
      <w:r w:rsidRPr="00A85127">
        <w:rPr>
          <w:b/>
          <w:bCs/>
          <w:lang w:val="en-US"/>
        </w:rPr>
        <w:t xml:space="preserve"> </w:t>
      </w:r>
      <w:r w:rsidR="00ED72E4">
        <w:rPr>
          <w:b/>
          <w:bCs/>
          <w:lang w:val="en-US"/>
        </w:rPr>
        <w:t>according to</w:t>
      </w:r>
      <w:r w:rsidR="00A85127" w:rsidRPr="00A85127">
        <w:rPr>
          <w:b/>
          <w:bCs/>
          <w:lang w:val="en-US"/>
        </w:rPr>
        <w:t xml:space="preserve"> this new emission BW. </w:t>
      </w:r>
    </w:p>
    <w:p w14:paraId="5E76D5F8" w14:textId="51317E1C" w:rsidR="003C0B0F" w:rsidRPr="004B3A9B" w:rsidRDefault="009C1491" w:rsidP="004B3A9B">
      <w:pPr>
        <w:pStyle w:val="Heading1"/>
        <w:numPr>
          <w:ilvl w:val="0"/>
          <w:numId w:val="8"/>
        </w:numPr>
        <w:jc w:val="both"/>
        <w:rPr>
          <w:b w:val="0"/>
          <w:lang w:val="en-US"/>
        </w:rPr>
      </w:pPr>
      <w:r>
        <w:rPr>
          <w:b w:val="0"/>
          <w:lang w:val="en-SE"/>
        </w:rPr>
        <w:t xml:space="preserve">Applicable </w:t>
      </w:r>
      <w:r w:rsidR="003C0B0F">
        <w:rPr>
          <w:b w:val="0"/>
          <w:lang w:val="en-SE"/>
        </w:rPr>
        <w:t>of the new emission BW</w:t>
      </w:r>
    </w:p>
    <w:p w14:paraId="0BA4180A" w14:textId="5A5EA826" w:rsidR="009A1ECE" w:rsidRPr="004B3A9B" w:rsidRDefault="003C0B0F" w:rsidP="004B3A9B">
      <w:pPr>
        <w:pStyle w:val="BodyText"/>
        <w:jc w:val="both"/>
        <w:rPr>
          <w:rFonts w:eastAsia="SimSun"/>
          <w:szCs w:val="24"/>
          <w:lang w:val="en-SE" w:eastAsia="zh-CN"/>
        </w:rPr>
      </w:pPr>
      <w:r>
        <w:rPr>
          <w:rFonts w:eastAsia="SimSun"/>
          <w:szCs w:val="24"/>
          <w:lang w:val="en-SE" w:eastAsia="zh-CN"/>
        </w:rPr>
        <w:t>If</w:t>
      </w:r>
      <w:r w:rsidR="00E808F8">
        <w:rPr>
          <w:rFonts w:eastAsia="SimSun"/>
          <w:szCs w:val="24"/>
          <w:lang w:val="en-SE" w:eastAsia="zh-CN"/>
        </w:rPr>
        <w:t xml:space="preserve"> the</w:t>
      </w:r>
      <w:r w:rsidR="00E808F8" w:rsidRPr="00D14231">
        <w:rPr>
          <w:rFonts w:eastAsia="SimSun"/>
          <w:szCs w:val="24"/>
          <w:lang w:val="en-SE" w:eastAsia="zh-CN"/>
        </w:rPr>
        <w:t xml:space="preserve"> </w:t>
      </w:r>
      <w:r w:rsidR="00E808F8">
        <w:rPr>
          <w:rFonts w:eastAsia="SimSun"/>
          <w:szCs w:val="24"/>
          <w:lang w:val="en-SE" w:eastAsia="zh-CN"/>
        </w:rPr>
        <w:t xml:space="preserve">new emission </w:t>
      </w:r>
      <w:r w:rsidR="009B39ED">
        <w:rPr>
          <w:rFonts w:eastAsia="SimSun"/>
          <w:szCs w:val="24"/>
          <w:lang w:val="en-SE" w:eastAsia="zh-CN"/>
        </w:rPr>
        <w:t xml:space="preserve">BW </w:t>
      </w:r>
      <w:r w:rsidR="009B39ED" w:rsidRPr="00D14231">
        <w:rPr>
          <w:rFonts w:eastAsia="SimSun"/>
          <w:szCs w:val="24"/>
          <w:lang w:val="en-SE" w:eastAsia="zh-CN"/>
        </w:rPr>
        <w:t>edge</w:t>
      </w:r>
      <w:r w:rsidR="00E808F8" w:rsidRPr="00D14231">
        <w:rPr>
          <w:rFonts w:eastAsia="SimSun"/>
          <w:szCs w:val="24"/>
          <w:lang w:val="en-SE" w:eastAsia="zh-CN"/>
        </w:rPr>
        <w:t xml:space="preserve"> exceeds the BS CBW edge</w:t>
      </w:r>
      <w:r w:rsidR="00E808F8">
        <w:rPr>
          <w:rFonts w:eastAsia="SimSun"/>
          <w:szCs w:val="24"/>
          <w:lang w:val="en-SE" w:eastAsia="zh-CN"/>
        </w:rPr>
        <w:t>, it may cause potential issues</w:t>
      </w:r>
      <w:r>
        <w:rPr>
          <w:rFonts w:eastAsia="SimSun"/>
          <w:szCs w:val="24"/>
          <w:lang w:val="en-SE" w:eastAsia="zh-CN"/>
        </w:rPr>
        <w:t xml:space="preserve"> </w:t>
      </w:r>
      <w:r w:rsidR="00E808F8">
        <w:rPr>
          <w:rFonts w:eastAsia="SimSun"/>
          <w:szCs w:val="24"/>
          <w:lang w:val="en-SE" w:eastAsia="zh-CN"/>
        </w:rPr>
        <w:t>where out</w:t>
      </w:r>
      <w:r>
        <w:rPr>
          <w:rFonts w:eastAsia="SimSun"/>
          <w:szCs w:val="24"/>
          <w:lang w:val="en-SE" w:eastAsia="zh-CN"/>
        </w:rPr>
        <w:t>-of-</w:t>
      </w:r>
      <w:r w:rsidR="00E808F8">
        <w:rPr>
          <w:rFonts w:eastAsia="SimSun"/>
          <w:szCs w:val="24"/>
          <w:lang w:val="en-SE" w:eastAsia="zh-CN"/>
        </w:rPr>
        <w:t xml:space="preserve">band protection can not be guaranteed. Therefore, it is proposed that </w:t>
      </w:r>
      <w:r>
        <w:rPr>
          <w:rFonts w:eastAsia="SimSun"/>
          <w:szCs w:val="24"/>
          <w:lang w:val="en-SE" w:eastAsia="zh-CN"/>
        </w:rPr>
        <w:t>the</w:t>
      </w:r>
      <w:r w:rsidRPr="00D14231">
        <w:rPr>
          <w:rFonts w:eastAsia="SimSun"/>
          <w:szCs w:val="24"/>
          <w:lang w:val="en-SE" w:eastAsia="zh-CN"/>
        </w:rPr>
        <w:t xml:space="preserve"> </w:t>
      </w:r>
      <w:r>
        <w:rPr>
          <w:rFonts w:eastAsia="SimSun"/>
          <w:szCs w:val="24"/>
          <w:lang w:val="en-SE" w:eastAsia="zh-CN"/>
        </w:rPr>
        <w:t xml:space="preserve">new emission BW </w:t>
      </w:r>
      <w:r w:rsidR="00E808F8">
        <w:rPr>
          <w:rFonts w:eastAsia="SimSun"/>
          <w:szCs w:val="24"/>
          <w:lang w:val="en-SE" w:eastAsia="zh-CN"/>
        </w:rPr>
        <w:t xml:space="preserve">should </w:t>
      </w:r>
      <w:r>
        <w:rPr>
          <w:rFonts w:eastAsia="SimSun"/>
          <w:szCs w:val="24"/>
          <w:lang w:val="en-SE" w:eastAsia="zh-CN"/>
        </w:rPr>
        <w:t>not go beyond</w:t>
      </w:r>
      <w:r w:rsidR="00E808F8">
        <w:rPr>
          <w:rFonts w:eastAsia="SimSun"/>
          <w:szCs w:val="24"/>
          <w:lang w:val="en-SE" w:eastAsia="zh-CN"/>
        </w:rPr>
        <w:t xml:space="preserve"> the BS CBW</w:t>
      </w:r>
      <w:r>
        <w:rPr>
          <w:rFonts w:eastAsia="SimSun"/>
          <w:szCs w:val="24"/>
          <w:lang w:val="en-SE" w:eastAsia="zh-CN"/>
        </w:rPr>
        <w:t>.</w:t>
      </w:r>
    </w:p>
    <w:p w14:paraId="3A75583A" w14:textId="337D86AA" w:rsidR="00510721" w:rsidRPr="004B3A9B" w:rsidRDefault="00510721" w:rsidP="00A85127">
      <w:pPr>
        <w:pStyle w:val="BodyText"/>
        <w:rPr>
          <w:rFonts w:eastAsia="SimSun"/>
          <w:b/>
          <w:bCs/>
          <w:szCs w:val="24"/>
          <w:lang w:val="en-SE" w:eastAsia="zh-CN"/>
        </w:rPr>
      </w:pPr>
      <w:r w:rsidRPr="008947D3">
        <w:rPr>
          <w:rFonts w:eastAsia="SimSun"/>
          <w:b/>
          <w:bCs/>
          <w:szCs w:val="24"/>
          <w:lang w:val="en-SE" w:eastAsia="zh-CN"/>
        </w:rPr>
        <w:t>Observation</w:t>
      </w:r>
      <w:r>
        <w:rPr>
          <w:rFonts w:eastAsia="SimSun"/>
          <w:b/>
          <w:bCs/>
          <w:szCs w:val="24"/>
          <w:lang w:val="en-SE" w:eastAsia="zh-CN"/>
        </w:rPr>
        <w:t xml:space="preserve"> </w:t>
      </w:r>
      <w:r w:rsidR="00057936">
        <w:rPr>
          <w:rFonts w:eastAsia="SimSun"/>
          <w:b/>
          <w:bCs/>
          <w:szCs w:val="24"/>
          <w:lang w:val="en-SE" w:eastAsia="zh-CN"/>
        </w:rPr>
        <w:t>2</w:t>
      </w:r>
      <w:r w:rsidRPr="008947D3">
        <w:rPr>
          <w:rFonts w:eastAsia="SimSun"/>
          <w:b/>
          <w:bCs/>
          <w:szCs w:val="24"/>
          <w:lang w:val="en-SE" w:eastAsia="zh-CN"/>
        </w:rPr>
        <w:t xml:space="preserve">: </w:t>
      </w:r>
      <w:r>
        <w:rPr>
          <w:rFonts w:eastAsia="SimSun"/>
          <w:b/>
          <w:bCs/>
          <w:szCs w:val="24"/>
          <w:lang w:val="en-SE" w:eastAsia="zh-CN"/>
        </w:rPr>
        <w:t>A</w:t>
      </w:r>
      <w:r w:rsidRPr="008947D3">
        <w:rPr>
          <w:rFonts w:eastAsia="SimSun"/>
          <w:b/>
          <w:bCs/>
          <w:szCs w:val="24"/>
          <w:lang w:val="en-SE" w:eastAsia="zh-CN"/>
        </w:rPr>
        <w:t>llowing extended UE CBW go beyond the BS CBW may also shift the boundary of ACLR and SEM</w:t>
      </w:r>
      <w:r>
        <w:rPr>
          <w:rFonts w:eastAsia="SimSun"/>
          <w:b/>
          <w:bCs/>
          <w:szCs w:val="24"/>
          <w:lang w:val="en-SE" w:eastAsia="zh-CN"/>
        </w:rPr>
        <w:t>,</w:t>
      </w:r>
      <w:r w:rsidRPr="008947D3">
        <w:rPr>
          <w:rFonts w:eastAsia="SimSun"/>
          <w:b/>
          <w:bCs/>
          <w:szCs w:val="24"/>
          <w:lang w:val="en-SE" w:eastAsia="zh-CN"/>
        </w:rPr>
        <w:t xml:space="preserve"> which will cause risk for out</w:t>
      </w:r>
      <w:r>
        <w:rPr>
          <w:rFonts w:eastAsia="SimSun"/>
          <w:b/>
          <w:bCs/>
          <w:szCs w:val="24"/>
          <w:lang w:val="en-SE" w:eastAsia="zh-CN"/>
        </w:rPr>
        <w:t>-of-</w:t>
      </w:r>
      <w:r w:rsidRPr="008947D3">
        <w:rPr>
          <w:rFonts w:eastAsia="SimSun"/>
          <w:b/>
          <w:bCs/>
          <w:szCs w:val="24"/>
          <w:lang w:val="en-SE" w:eastAsia="zh-CN"/>
        </w:rPr>
        <w:t>band protection</w:t>
      </w:r>
      <w:r>
        <w:rPr>
          <w:rFonts w:eastAsia="SimSun"/>
          <w:b/>
          <w:bCs/>
          <w:szCs w:val="24"/>
          <w:lang w:val="en-SE" w:eastAsia="zh-CN"/>
        </w:rPr>
        <w:t>.</w:t>
      </w:r>
    </w:p>
    <w:p w14:paraId="3C4D6155" w14:textId="2FDC88B5" w:rsidR="00ED72E4" w:rsidRPr="00A85127" w:rsidRDefault="00ED72E4" w:rsidP="00A85127">
      <w:pPr>
        <w:pStyle w:val="BodyText"/>
        <w:rPr>
          <w:b/>
          <w:bCs/>
          <w:lang w:val="en-US"/>
        </w:rPr>
      </w:pPr>
      <w:r>
        <w:rPr>
          <w:b/>
          <w:bCs/>
          <w:lang w:val="en-US"/>
        </w:rPr>
        <w:t xml:space="preserve">Proposal 2: </w:t>
      </w:r>
      <w:r w:rsidR="00EE6CFC">
        <w:rPr>
          <w:b/>
          <w:bCs/>
          <w:lang w:val="en-US"/>
        </w:rPr>
        <w:t>To ensure the protection out of the frequency band, t</w:t>
      </w:r>
      <w:r>
        <w:rPr>
          <w:b/>
          <w:bCs/>
          <w:lang w:val="en-US"/>
        </w:rPr>
        <w:t xml:space="preserve">he </w:t>
      </w:r>
      <w:r w:rsidR="00BE3F53">
        <w:rPr>
          <w:b/>
          <w:bCs/>
          <w:lang w:val="en-US"/>
        </w:rPr>
        <w:t>new emission CBW</w:t>
      </w:r>
      <w:r w:rsidR="00BE3F53" w:rsidRPr="00BE3F53">
        <w:rPr>
          <w:b/>
          <w:bCs/>
          <w:lang w:val="en-US"/>
        </w:rPr>
        <w:t xml:space="preserve"> should not exceed the BS CBW</w:t>
      </w:r>
      <w:r w:rsidR="00BE3F53">
        <w:rPr>
          <w:b/>
          <w:bCs/>
          <w:lang w:val="en-US"/>
        </w:rPr>
        <w:t>.</w:t>
      </w:r>
    </w:p>
    <w:p w14:paraId="15D561D2" w14:textId="605605C5" w:rsidR="0002747E" w:rsidRDefault="00E61B23" w:rsidP="004D19A2">
      <w:pPr>
        <w:pStyle w:val="BodyText"/>
        <w:jc w:val="both"/>
        <w:rPr>
          <w:lang w:val="en-US"/>
        </w:rPr>
      </w:pPr>
      <w:r>
        <w:rPr>
          <w:lang w:val="en-US"/>
        </w:rPr>
        <w:t>Meanwhile,</w:t>
      </w:r>
      <w:r w:rsidR="0002747E" w:rsidRPr="004D19A2">
        <w:rPr>
          <w:lang w:val="en-US"/>
        </w:rPr>
        <w:t xml:space="preserve"> emission limits </w:t>
      </w:r>
      <w:r w:rsidR="00E237D3" w:rsidRPr="004D19A2">
        <w:rPr>
          <w:lang w:val="en-US"/>
        </w:rPr>
        <w:t xml:space="preserve">that currently </w:t>
      </w:r>
      <w:r w:rsidR="008C1B34">
        <w:rPr>
          <w:lang w:val="en-US"/>
        </w:rPr>
        <w:t xml:space="preserve">do </w:t>
      </w:r>
      <w:r w:rsidR="00A93C19" w:rsidRPr="004D19A2">
        <w:rPr>
          <w:lang w:val="en-US"/>
        </w:rPr>
        <w:t>not depend on UE CBW, for example</w:t>
      </w:r>
      <w:r w:rsidR="00BE3F53">
        <w:rPr>
          <w:lang w:val="en-US"/>
        </w:rPr>
        <w:t>,</w:t>
      </w:r>
      <w:r w:rsidR="00A93C19" w:rsidRPr="004D19A2">
        <w:rPr>
          <w:lang w:val="en-US"/>
        </w:rPr>
        <w:t xml:space="preserve"> </w:t>
      </w:r>
      <w:r w:rsidR="00BB066F" w:rsidRPr="004D19A2">
        <w:rPr>
          <w:lang w:val="en-US"/>
        </w:rPr>
        <w:t xml:space="preserve">the </w:t>
      </w:r>
      <w:r w:rsidR="003725EA" w:rsidRPr="004D19A2">
        <w:rPr>
          <w:lang w:val="en-US"/>
        </w:rPr>
        <w:t>spurious emission for co-exi</w:t>
      </w:r>
      <w:r w:rsidR="00BE3F53">
        <w:rPr>
          <w:lang w:val="en-US"/>
        </w:rPr>
        <w:t>s</w:t>
      </w:r>
      <w:r w:rsidR="003725EA" w:rsidRPr="004D19A2">
        <w:rPr>
          <w:lang w:val="en-US"/>
        </w:rPr>
        <w:t>tence or emission limit</w:t>
      </w:r>
      <w:r w:rsidR="008C1B34">
        <w:rPr>
          <w:lang w:val="en-US"/>
        </w:rPr>
        <w:t>s</w:t>
      </w:r>
      <w:r w:rsidR="003725EA" w:rsidRPr="004D19A2">
        <w:rPr>
          <w:lang w:val="en-US"/>
        </w:rPr>
        <w:t xml:space="preserve"> due to regulatory requirements</w:t>
      </w:r>
      <w:r w:rsidR="008C1B34">
        <w:rPr>
          <w:lang w:val="en-US"/>
        </w:rPr>
        <w:t>,</w:t>
      </w:r>
      <w:r w:rsidR="003725EA" w:rsidRPr="004D19A2">
        <w:rPr>
          <w:lang w:val="en-US"/>
        </w:rPr>
        <w:t xml:space="preserve"> shall not be </w:t>
      </w:r>
      <w:r w:rsidR="00BF19F7" w:rsidRPr="004D19A2">
        <w:rPr>
          <w:lang w:val="en-US"/>
        </w:rPr>
        <w:t xml:space="preserve">changed to ensure the 3GPP </w:t>
      </w:r>
      <w:r w:rsidR="008C1B34">
        <w:rPr>
          <w:lang w:val="en-US"/>
        </w:rPr>
        <w:t>requirements</w:t>
      </w:r>
      <w:r w:rsidR="00BF19F7" w:rsidRPr="004D19A2">
        <w:rPr>
          <w:lang w:val="en-US"/>
        </w:rPr>
        <w:t xml:space="preserve"> can provide sufficient protection between different frequency bands and be compatible with </w:t>
      </w:r>
      <w:r w:rsidR="004D19A2">
        <w:rPr>
          <w:lang w:val="en-US"/>
        </w:rPr>
        <w:t>regional</w:t>
      </w:r>
      <w:r w:rsidR="00BF19F7" w:rsidRPr="004D19A2">
        <w:rPr>
          <w:lang w:val="en-US"/>
        </w:rPr>
        <w:t xml:space="preserve"> regulato</w:t>
      </w:r>
      <w:r w:rsidR="004D19A2" w:rsidRPr="004D19A2">
        <w:rPr>
          <w:lang w:val="en-US"/>
        </w:rPr>
        <w:t xml:space="preserve">ry requirements. </w:t>
      </w:r>
    </w:p>
    <w:p w14:paraId="548E59DE" w14:textId="5DAD6FC4" w:rsidR="004D19A2" w:rsidRPr="00B309C4" w:rsidRDefault="004D19A2" w:rsidP="004D19A2">
      <w:pPr>
        <w:pStyle w:val="BodyText"/>
        <w:jc w:val="both"/>
        <w:rPr>
          <w:b/>
          <w:bCs/>
          <w:lang w:val="en-US"/>
        </w:rPr>
      </w:pPr>
      <w:r w:rsidRPr="00B309C4">
        <w:rPr>
          <w:b/>
          <w:bCs/>
          <w:lang w:val="en-US"/>
        </w:rPr>
        <w:t xml:space="preserve">Proposal </w:t>
      </w:r>
      <w:r w:rsidR="000352BA">
        <w:rPr>
          <w:b/>
          <w:bCs/>
          <w:lang w:val="en-US"/>
        </w:rPr>
        <w:t>3</w:t>
      </w:r>
      <w:r w:rsidRPr="00B309C4">
        <w:rPr>
          <w:b/>
          <w:bCs/>
          <w:lang w:val="en-US"/>
        </w:rPr>
        <w:t xml:space="preserve">: No changes </w:t>
      </w:r>
      <w:r w:rsidR="008C1B34">
        <w:rPr>
          <w:b/>
          <w:bCs/>
          <w:lang w:val="en-US"/>
        </w:rPr>
        <w:t>to</w:t>
      </w:r>
      <w:r w:rsidR="00B309C4" w:rsidRPr="00B309C4">
        <w:rPr>
          <w:b/>
          <w:bCs/>
          <w:lang w:val="en-US"/>
        </w:rPr>
        <w:t xml:space="preserve"> spurious emission for co-exi</w:t>
      </w:r>
      <w:r w:rsidR="008C1B34">
        <w:rPr>
          <w:b/>
          <w:bCs/>
          <w:lang w:val="en-US"/>
        </w:rPr>
        <w:t>s</w:t>
      </w:r>
      <w:r w:rsidR="00B309C4" w:rsidRPr="00B309C4">
        <w:rPr>
          <w:b/>
          <w:bCs/>
          <w:lang w:val="en-US"/>
        </w:rPr>
        <w:t>tence or emission limit</w:t>
      </w:r>
      <w:r w:rsidR="008C1B34">
        <w:rPr>
          <w:b/>
          <w:bCs/>
          <w:lang w:val="en-US"/>
        </w:rPr>
        <w:t>s</w:t>
      </w:r>
      <w:r w:rsidR="00B309C4" w:rsidRPr="00B309C4">
        <w:rPr>
          <w:b/>
          <w:bCs/>
          <w:lang w:val="en-US"/>
        </w:rPr>
        <w:t xml:space="preserve"> due to regulatory requirements</w:t>
      </w:r>
      <w:r w:rsidR="008C1B34">
        <w:rPr>
          <w:b/>
          <w:bCs/>
          <w:lang w:val="en-US"/>
        </w:rPr>
        <w:t xml:space="preserve"> with </w:t>
      </w:r>
      <w:r w:rsidR="00B53D96">
        <w:rPr>
          <w:b/>
          <w:bCs/>
          <w:lang w:val="en-US"/>
        </w:rPr>
        <w:t>the new emission BW</w:t>
      </w:r>
      <w:r w:rsidR="00B309C4" w:rsidRPr="00B309C4">
        <w:rPr>
          <w:b/>
          <w:bCs/>
          <w:lang w:val="en-US"/>
        </w:rPr>
        <w:t xml:space="preserve">. </w:t>
      </w:r>
    </w:p>
    <w:p w14:paraId="2AB43B16" w14:textId="686BE85C" w:rsidR="006A2F6A" w:rsidRDefault="00550DBC" w:rsidP="00C93681">
      <w:pPr>
        <w:pStyle w:val="BodyText"/>
        <w:jc w:val="both"/>
        <w:rPr>
          <w:lang w:val="en-US"/>
        </w:rPr>
      </w:pPr>
      <w:r>
        <w:rPr>
          <w:lang w:val="en-US"/>
        </w:rPr>
        <w:t>Then</w:t>
      </w:r>
      <w:r w:rsidR="00B53D96">
        <w:rPr>
          <w:lang w:val="en-US"/>
        </w:rPr>
        <w:t>,</w:t>
      </w:r>
      <w:r>
        <w:rPr>
          <w:lang w:val="en-US"/>
        </w:rPr>
        <w:t xml:space="preserve"> the next question is how </w:t>
      </w:r>
      <w:r w:rsidR="00C4721B">
        <w:rPr>
          <w:lang w:val="en-US"/>
        </w:rPr>
        <w:t>small the new emission limit bandwidth need</w:t>
      </w:r>
      <w:r w:rsidR="00B53D96">
        <w:rPr>
          <w:lang w:val="en-US"/>
        </w:rPr>
        <w:t>s</w:t>
      </w:r>
      <w:r w:rsidR="00C4721B">
        <w:rPr>
          <w:lang w:val="en-US"/>
        </w:rPr>
        <w:t xml:space="preserve"> to be so that the UE </w:t>
      </w:r>
      <w:r w:rsidR="00BF66D5">
        <w:rPr>
          <w:lang w:val="en-US"/>
        </w:rPr>
        <w:t xml:space="preserve">can </w:t>
      </w:r>
      <w:r w:rsidR="00C4721B">
        <w:rPr>
          <w:lang w:val="en-US"/>
        </w:rPr>
        <w:t>achi</w:t>
      </w:r>
      <w:r w:rsidR="00B53D96">
        <w:rPr>
          <w:lang w:val="en-US"/>
        </w:rPr>
        <w:t>e</w:t>
      </w:r>
      <w:r w:rsidR="00C4721B">
        <w:rPr>
          <w:lang w:val="en-US"/>
        </w:rPr>
        <w:t xml:space="preserve">ve </w:t>
      </w:r>
      <w:r w:rsidR="00BF66D5">
        <w:rPr>
          <w:lang w:val="en-US"/>
        </w:rPr>
        <w:t>sufficient MPR reduction</w:t>
      </w:r>
      <w:r w:rsidR="00B53D96">
        <w:rPr>
          <w:lang w:val="en-US"/>
        </w:rPr>
        <w:t>.</w:t>
      </w:r>
      <w:r w:rsidR="00BF66D5">
        <w:rPr>
          <w:lang w:val="en-US"/>
        </w:rPr>
        <w:t xml:space="preserve"> </w:t>
      </w:r>
      <w:r w:rsidR="00BA5135">
        <w:rPr>
          <w:lang w:val="en-US"/>
        </w:rPr>
        <w:t xml:space="preserve">By looking at the MPR currently specified for PC3 and PC2, it can </w:t>
      </w:r>
      <w:r w:rsidR="00B53D96">
        <w:rPr>
          <w:lang w:val="en-US"/>
        </w:rPr>
        <w:t>be seen that about 1 to 1.5 dB gain can be obtained by transfer to the edge/outer RB to inner RB while there is</w:t>
      </w:r>
      <w:r w:rsidR="00662F6A">
        <w:rPr>
          <w:lang w:val="en-US"/>
        </w:rPr>
        <w:t xml:space="preserve"> no gain or </w:t>
      </w:r>
      <w:r w:rsidR="00B53D96">
        <w:rPr>
          <w:lang w:val="en-US"/>
        </w:rPr>
        <w:t xml:space="preserve">very </w:t>
      </w:r>
      <w:r w:rsidR="00662F6A">
        <w:rPr>
          <w:lang w:val="en-US"/>
        </w:rPr>
        <w:t xml:space="preserve">limited gain </w:t>
      </w:r>
      <w:r w:rsidR="00A21481">
        <w:rPr>
          <w:lang w:val="en-US"/>
        </w:rPr>
        <w:t>(</w:t>
      </w:r>
      <w:r w:rsidR="008F0456">
        <w:rPr>
          <w:lang w:val="en-US"/>
        </w:rPr>
        <w:t>~</w:t>
      </w:r>
      <w:r w:rsidR="00A21481">
        <w:rPr>
          <w:lang w:val="en-US"/>
        </w:rPr>
        <w:t xml:space="preserve"> 0.5 dB</w:t>
      </w:r>
      <w:r w:rsidR="00AA4F2B">
        <w:rPr>
          <w:lang w:val="en-US"/>
        </w:rPr>
        <w:t>)</w:t>
      </w:r>
      <w:r w:rsidR="0081593C">
        <w:rPr>
          <w:lang w:val="en-US"/>
        </w:rPr>
        <w:t xml:space="preserve"> by transfer the edge RB to outer RB allocations</w:t>
      </w:r>
      <w:r w:rsidR="00A21481">
        <w:rPr>
          <w:lang w:val="en-US"/>
        </w:rPr>
        <w:t xml:space="preserve">. Therefore, it </w:t>
      </w:r>
      <w:r w:rsidR="0081593C">
        <w:rPr>
          <w:lang w:val="en-US"/>
        </w:rPr>
        <w:t xml:space="preserve">is reasonable </w:t>
      </w:r>
      <w:r w:rsidR="000D2846">
        <w:rPr>
          <w:lang w:val="en-US"/>
        </w:rPr>
        <w:t>to focus on the case that</w:t>
      </w:r>
      <w:r w:rsidR="00A21481">
        <w:rPr>
          <w:lang w:val="en-US"/>
        </w:rPr>
        <w:t xml:space="preserve"> </w:t>
      </w:r>
      <w:r w:rsidR="0081593C">
        <w:rPr>
          <w:lang w:val="en-US"/>
        </w:rPr>
        <w:t>the “</w:t>
      </w:r>
      <w:r w:rsidR="00AB657A">
        <w:rPr>
          <w:lang w:val="en-US"/>
        </w:rPr>
        <w:t>new emission BW</w:t>
      </w:r>
      <w:r w:rsidR="0081593C">
        <w:rPr>
          <w:lang w:val="en-US"/>
        </w:rPr>
        <w:t>”</w:t>
      </w:r>
      <w:r w:rsidR="00C41098">
        <w:rPr>
          <w:lang w:val="en-US"/>
        </w:rPr>
        <w:t xml:space="preserve"> </w:t>
      </w:r>
      <w:r w:rsidR="00AB657A">
        <w:rPr>
          <w:lang w:val="en-US"/>
        </w:rPr>
        <w:t xml:space="preserve">is large enough to </w:t>
      </w:r>
      <w:r w:rsidR="0081593C">
        <w:rPr>
          <w:lang w:val="en-US"/>
        </w:rPr>
        <w:t xml:space="preserve">accommodate </w:t>
      </w:r>
      <w:r w:rsidR="00AB657A">
        <w:rPr>
          <w:lang w:val="en-US"/>
        </w:rPr>
        <w:t xml:space="preserve">the </w:t>
      </w:r>
      <w:r w:rsidR="0081593C">
        <w:rPr>
          <w:lang w:val="en-US"/>
        </w:rPr>
        <w:t xml:space="preserve">legacy </w:t>
      </w:r>
      <w:r w:rsidR="00AB657A">
        <w:rPr>
          <w:lang w:val="en-US"/>
        </w:rPr>
        <w:t xml:space="preserve">UE CBW to be fully </w:t>
      </w:r>
      <w:r w:rsidR="006724A5">
        <w:rPr>
          <w:lang w:val="en-US"/>
        </w:rPr>
        <w:t>inner allocated</w:t>
      </w:r>
      <w:r w:rsidR="0081593C">
        <w:rPr>
          <w:lang w:val="en-US"/>
        </w:rPr>
        <w:t>. I</w:t>
      </w:r>
      <w:r w:rsidR="00AB657A">
        <w:rPr>
          <w:lang w:val="en-US"/>
        </w:rPr>
        <w:t xml:space="preserve">n other words, </w:t>
      </w:r>
      <w:r w:rsidR="00697C11">
        <w:rPr>
          <w:lang w:val="en-US"/>
        </w:rPr>
        <w:t xml:space="preserve">the </w:t>
      </w:r>
      <w:r w:rsidR="0081593C">
        <w:rPr>
          <w:lang w:val="en-US"/>
        </w:rPr>
        <w:t>“</w:t>
      </w:r>
      <w:r w:rsidR="00697C11">
        <w:rPr>
          <w:lang w:val="en-US"/>
        </w:rPr>
        <w:t>new emission BW</w:t>
      </w:r>
      <w:r w:rsidR="0081593C">
        <w:rPr>
          <w:lang w:val="en-US"/>
        </w:rPr>
        <w:t>”</w:t>
      </w:r>
      <w:r w:rsidR="00C41098">
        <w:rPr>
          <w:lang w:val="en-US"/>
        </w:rPr>
        <w:t xml:space="preserve"> </w:t>
      </w:r>
      <w:r w:rsidR="00697C11">
        <w:rPr>
          <w:lang w:val="en-US"/>
        </w:rPr>
        <w:t xml:space="preserve">shall be </w:t>
      </w:r>
      <w:r w:rsidR="00454544">
        <w:rPr>
          <w:lang w:val="en-US"/>
        </w:rPr>
        <w:t xml:space="preserve">at least </w:t>
      </w:r>
      <w:r w:rsidR="00697C11">
        <w:rPr>
          <w:rFonts w:eastAsia="SimSun"/>
          <w:color w:val="000000" w:themeColor="text1"/>
          <w:szCs w:val="24"/>
        </w:rPr>
        <w:t>1.5* (</w:t>
      </w:r>
      <w:r w:rsidR="009429A3">
        <w:rPr>
          <w:rFonts w:eastAsia="SimSun"/>
          <w:color w:val="000000" w:themeColor="text1"/>
          <w:szCs w:val="24"/>
        </w:rPr>
        <w:t xml:space="preserve">legacy </w:t>
      </w:r>
      <w:r w:rsidR="00697C11">
        <w:rPr>
          <w:rFonts w:eastAsia="SimSun"/>
          <w:color w:val="000000" w:themeColor="text1"/>
          <w:szCs w:val="24"/>
        </w:rPr>
        <w:t>UE CBW)</w:t>
      </w:r>
      <w:r w:rsidR="00454544">
        <w:rPr>
          <w:rFonts w:eastAsia="SimSun"/>
          <w:color w:val="000000" w:themeColor="text1"/>
          <w:szCs w:val="24"/>
        </w:rPr>
        <w:t xml:space="preserve">. </w:t>
      </w:r>
    </w:p>
    <w:p w14:paraId="710F8741" w14:textId="00E6F27B" w:rsidR="006A2F6A" w:rsidRDefault="00BA5135" w:rsidP="00C93681">
      <w:pPr>
        <w:pStyle w:val="BodyText"/>
        <w:jc w:val="both"/>
        <w:rPr>
          <w:lang w:val="en-US"/>
        </w:rPr>
      </w:pPr>
      <w:r>
        <w:rPr>
          <w:noProof/>
        </w:rPr>
        <w:drawing>
          <wp:inline distT="0" distB="0" distL="0" distR="0" wp14:anchorId="36F106B1" wp14:editId="1F23968B">
            <wp:extent cx="2834640" cy="1082976"/>
            <wp:effectExtent l="0" t="0" r="3810" b="3175"/>
            <wp:docPr id="655046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046671" name=""/>
                    <pic:cNvPicPr/>
                  </pic:nvPicPr>
                  <pic:blipFill rotWithShape="1">
                    <a:blip r:embed="rId12"/>
                    <a:srcRect b="37476"/>
                    <a:stretch/>
                  </pic:blipFill>
                  <pic:spPr bwMode="auto">
                    <a:xfrm>
                      <a:off x="0" y="0"/>
                      <a:ext cx="2834640" cy="1082976"/>
                    </a:xfrm>
                    <a:prstGeom prst="rect">
                      <a:avLst/>
                    </a:prstGeom>
                    <a:ln>
                      <a:noFill/>
                    </a:ln>
                    <a:extLst>
                      <a:ext uri="{53640926-AAD7-44D8-BBD7-CCE9431645EC}">
                        <a14:shadowObscured xmlns:a14="http://schemas.microsoft.com/office/drawing/2010/main"/>
                      </a:ext>
                    </a:extLst>
                  </pic:spPr>
                </pic:pic>
              </a:graphicData>
            </a:graphic>
          </wp:inline>
        </w:drawing>
      </w:r>
      <w:r w:rsidR="00CB5A86">
        <w:rPr>
          <w:noProof/>
        </w:rPr>
        <w:drawing>
          <wp:inline distT="0" distB="0" distL="0" distR="0" wp14:anchorId="11FA55FB" wp14:editId="49628965">
            <wp:extent cx="3383280" cy="1159540"/>
            <wp:effectExtent l="0" t="0" r="7620" b="2540"/>
            <wp:docPr id="1948351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351444" name=""/>
                    <pic:cNvPicPr/>
                  </pic:nvPicPr>
                  <pic:blipFill rotWithShape="1">
                    <a:blip r:embed="rId13"/>
                    <a:srcRect b="31862"/>
                    <a:stretch/>
                  </pic:blipFill>
                  <pic:spPr bwMode="auto">
                    <a:xfrm>
                      <a:off x="0" y="0"/>
                      <a:ext cx="3383280" cy="1159540"/>
                    </a:xfrm>
                    <a:prstGeom prst="rect">
                      <a:avLst/>
                    </a:prstGeom>
                    <a:ln>
                      <a:noFill/>
                    </a:ln>
                    <a:extLst>
                      <a:ext uri="{53640926-AAD7-44D8-BBD7-CCE9431645EC}">
                        <a14:shadowObscured xmlns:a14="http://schemas.microsoft.com/office/drawing/2010/main"/>
                      </a:ext>
                    </a:extLst>
                  </pic:spPr>
                </pic:pic>
              </a:graphicData>
            </a:graphic>
          </wp:inline>
        </w:drawing>
      </w:r>
      <w:r w:rsidRPr="00BA5135">
        <w:rPr>
          <w:noProof/>
        </w:rPr>
        <w:t xml:space="preserve"> </w:t>
      </w:r>
    </w:p>
    <w:p w14:paraId="02EEF512" w14:textId="1CF39C49" w:rsidR="006724A5" w:rsidRPr="004B3A9B" w:rsidRDefault="00454544" w:rsidP="00C93681">
      <w:pPr>
        <w:pStyle w:val="BodyText"/>
        <w:jc w:val="both"/>
        <w:rPr>
          <w:b/>
          <w:bCs/>
          <w:lang w:val="en-US"/>
        </w:rPr>
      </w:pPr>
      <w:r w:rsidRPr="009429A3">
        <w:rPr>
          <w:b/>
          <w:bCs/>
          <w:lang w:val="en-US"/>
        </w:rPr>
        <w:t xml:space="preserve">Proposal </w:t>
      </w:r>
      <w:r w:rsidR="000352BA">
        <w:rPr>
          <w:b/>
          <w:bCs/>
          <w:lang w:val="en-US"/>
        </w:rPr>
        <w:t>4</w:t>
      </w:r>
      <w:r w:rsidR="009429A3" w:rsidRPr="009429A3">
        <w:rPr>
          <w:b/>
          <w:bCs/>
          <w:lang w:val="en-US"/>
        </w:rPr>
        <w:t>:</w:t>
      </w:r>
      <w:r w:rsidR="009429A3">
        <w:rPr>
          <w:b/>
          <w:bCs/>
          <w:lang w:val="en-US"/>
        </w:rPr>
        <w:t xml:space="preserve"> </w:t>
      </w:r>
      <w:r w:rsidR="006724A5">
        <w:rPr>
          <w:b/>
          <w:bCs/>
          <w:lang w:val="en-US"/>
        </w:rPr>
        <w:t>Focus on the case that</w:t>
      </w:r>
      <w:r w:rsidR="009429A3" w:rsidRPr="009429A3">
        <w:rPr>
          <w:b/>
          <w:bCs/>
          <w:lang w:val="en-US"/>
        </w:rPr>
        <w:t xml:space="preserve"> </w:t>
      </w:r>
      <w:r w:rsidR="006724A5" w:rsidRPr="004B3A9B">
        <w:rPr>
          <w:b/>
          <w:bCs/>
          <w:lang w:val="en-US"/>
        </w:rPr>
        <w:t xml:space="preserve">the “new emission BW” is large enough to accommodate the legacy UE CBW to be fully inner allocated, </w:t>
      </w:r>
      <w:r w:rsidR="006724A5">
        <w:rPr>
          <w:b/>
          <w:bCs/>
          <w:lang w:val="en-US"/>
        </w:rPr>
        <w:t xml:space="preserve">in </w:t>
      </w:r>
      <w:r w:rsidR="006724A5" w:rsidRPr="004B3A9B">
        <w:rPr>
          <w:b/>
          <w:bCs/>
          <w:lang w:val="en-US"/>
        </w:rPr>
        <w:t>which the “new emission BW”</w:t>
      </w:r>
      <w:r w:rsidR="006724A5">
        <w:rPr>
          <w:b/>
          <w:bCs/>
          <w:lang w:val="en-US"/>
        </w:rPr>
        <w:t xml:space="preserve"> is</w:t>
      </w:r>
      <w:r w:rsidR="006724A5" w:rsidRPr="009429A3">
        <w:rPr>
          <w:b/>
          <w:bCs/>
          <w:lang w:val="en-US"/>
        </w:rPr>
        <w:t xml:space="preserve"> </w:t>
      </w:r>
      <w:r w:rsidR="009429A3" w:rsidRPr="009429A3">
        <w:rPr>
          <w:b/>
          <w:bCs/>
          <w:lang w:val="en-US"/>
        </w:rPr>
        <w:t xml:space="preserve">at least </w:t>
      </w:r>
      <w:r w:rsidR="009429A3" w:rsidRPr="004B3A9B">
        <w:rPr>
          <w:b/>
          <w:bCs/>
          <w:lang w:val="en-US"/>
        </w:rPr>
        <w:t>1.5* (legacy UE CBW)</w:t>
      </w:r>
      <w:r w:rsidR="006724A5" w:rsidRPr="004B3A9B">
        <w:rPr>
          <w:b/>
          <w:bCs/>
          <w:lang w:val="en-US"/>
        </w:rPr>
        <w:t>.</w:t>
      </w:r>
    </w:p>
    <w:p w14:paraId="240100D8" w14:textId="7F2D9F4A" w:rsidR="00510721" w:rsidRDefault="001C2589" w:rsidP="00C93681">
      <w:pPr>
        <w:pStyle w:val="BodyText"/>
        <w:jc w:val="both"/>
        <w:rPr>
          <w:rFonts w:eastAsia="SimSun"/>
          <w:b/>
          <w:bCs/>
          <w:color w:val="000000" w:themeColor="text1"/>
          <w:szCs w:val="24"/>
        </w:rPr>
      </w:pPr>
      <w:r>
        <w:rPr>
          <w:rFonts w:eastAsia="SimSun"/>
          <w:color w:val="000000" w:themeColor="text1"/>
          <w:szCs w:val="24"/>
        </w:rPr>
        <w:t>Meanwhile, RAN4 can consider that i</w:t>
      </w:r>
      <w:r w:rsidR="006724A5">
        <w:rPr>
          <w:rFonts w:eastAsia="SimSun"/>
          <w:color w:val="000000" w:themeColor="text1"/>
          <w:szCs w:val="24"/>
        </w:rPr>
        <w:t xml:space="preserve">f the </w:t>
      </w:r>
      <w:r w:rsidR="006724A5">
        <w:rPr>
          <w:lang w:val="en-US"/>
        </w:rPr>
        <w:t xml:space="preserve">“new emission BW” is smaller than the </w:t>
      </w:r>
      <w:r w:rsidR="006724A5">
        <w:rPr>
          <w:rFonts w:eastAsia="SimSun"/>
          <w:color w:val="000000" w:themeColor="text1"/>
          <w:szCs w:val="24"/>
        </w:rPr>
        <w:t xml:space="preserve">1.5* (UE CBW), UE shall apply the emission limit according to the legacy UE CBW.  </w:t>
      </w:r>
    </w:p>
    <w:p w14:paraId="304980CB" w14:textId="02AFAC56" w:rsidR="00E21E64" w:rsidRDefault="00E21E64" w:rsidP="00C93681">
      <w:pPr>
        <w:pStyle w:val="BodyText"/>
        <w:jc w:val="both"/>
        <w:rPr>
          <w:rFonts w:eastAsia="SimSun"/>
          <w:b/>
          <w:bCs/>
          <w:color w:val="000000" w:themeColor="text1"/>
          <w:szCs w:val="24"/>
        </w:rPr>
      </w:pPr>
      <w:r>
        <w:rPr>
          <w:rFonts w:eastAsia="SimSun"/>
          <w:b/>
          <w:bCs/>
          <w:color w:val="000000" w:themeColor="text1"/>
          <w:szCs w:val="24"/>
        </w:rPr>
        <w:t xml:space="preserve">Proposal </w:t>
      </w:r>
      <w:r w:rsidR="000352BA">
        <w:rPr>
          <w:rFonts w:eastAsia="SimSun"/>
          <w:b/>
          <w:bCs/>
          <w:color w:val="000000" w:themeColor="text1"/>
          <w:szCs w:val="24"/>
        </w:rPr>
        <w:t>5</w:t>
      </w:r>
      <w:r>
        <w:rPr>
          <w:rFonts w:eastAsia="SimSun"/>
          <w:b/>
          <w:bCs/>
          <w:color w:val="000000" w:themeColor="text1"/>
          <w:szCs w:val="24"/>
        </w:rPr>
        <w:t xml:space="preserve">: the </w:t>
      </w:r>
      <w:r w:rsidRPr="004B3A9B">
        <w:rPr>
          <w:rFonts w:eastAsia="SimSun"/>
          <w:b/>
          <w:bCs/>
          <w:color w:val="000000" w:themeColor="text1"/>
          <w:szCs w:val="24"/>
        </w:rPr>
        <w:t>UE shall apply the emission limit according to the legacy UE CBW if the “new emission BW” is smaller than 1.5* (UE CBW).</w:t>
      </w:r>
    </w:p>
    <w:p w14:paraId="755704FD" w14:textId="677CDE49" w:rsidR="000352BA" w:rsidRDefault="000352BA" w:rsidP="000352BA">
      <w:pPr>
        <w:spacing w:after="120"/>
        <w:jc w:val="both"/>
        <w:rPr>
          <w:rFonts w:eastAsia="SimSun"/>
          <w:szCs w:val="24"/>
          <w:lang w:val="en-SE" w:eastAsia="zh-CN"/>
        </w:rPr>
      </w:pPr>
      <w:r>
        <w:rPr>
          <w:rFonts w:eastAsia="SimSun"/>
          <w:szCs w:val="24"/>
          <w:lang w:val="en-SE" w:eastAsia="zh-CN"/>
        </w:rPr>
        <w:t xml:space="preserve">Another aspect regarding the applicable BW of the “new emission BW” is that the “new emission BW” can be totally transparent to the UE as long as if “new emission BW” is one of the CBW that the UE can support. The network can always configure the UE with a UE channel BW but with limited RB allocations, and it will be equivalent to the case illustrated above as a “new emission BW”. On the other hand, new UE </w:t>
      </w:r>
      <w:r w:rsidR="00482286">
        <w:rPr>
          <w:rFonts w:eastAsia="SimSun"/>
          <w:szCs w:val="24"/>
          <w:lang w:val="en-SE" w:eastAsia="zh-CN"/>
        </w:rPr>
        <w:t>behaviour</w:t>
      </w:r>
      <w:r>
        <w:rPr>
          <w:rFonts w:eastAsia="SimSun"/>
          <w:szCs w:val="24"/>
          <w:lang w:val="en-SE" w:eastAsia="zh-CN"/>
        </w:rPr>
        <w:t>, e.g., MPR reduction, needs to be specified if the new emission BW is wider than the maximum UE CBW it can support.</w:t>
      </w:r>
    </w:p>
    <w:p w14:paraId="26674DC8" w14:textId="7B190CBD" w:rsidR="000352BA" w:rsidRPr="004B3A9B" w:rsidRDefault="000352BA" w:rsidP="000352BA">
      <w:pPr>
        <w:spacing w:after="120"/>
        <w:jc w:val="both"/>
        <w:rPr>
          <w:rFonts w:eastAsia="SimSun"/>
          <w:b/>
          <w:bCs/>
          <w:szCs w:val="24"/>
          <w:lang w:val="en-SE" w:eastAsia="zh-CN"/>
        </w:rPr>
      </w:pPr>
      <w:r w:rsidRPr="004B3A9B">
        <w:rPr>
          <w:rFonts w:eastAsia="SimSun"/>
          <w:b/>
          <w:bCs/>
          <w:szCs w:val="24"/>
          <w:lang w:val="en-SE" w:eastAsia="zh-CN"/>
        </w:rPr>
        <w:t xml:space="preserve">Proposal 6: </w:t>
      </w:r>
      <w:r>
        <w:rPr>
          <w:rFonts w:eastAsia="SimSun"/>
          <w:b/>
          <w:bCs/>
          <w:szCs w:val="24"/>
          <w:lang w:val="en-SE" w:eastAsia="zh-CN"/>
        </w:rPr>
        <w:t xml:space="preserve"> N</w:t>
      </w:r>
      <w:r w:rsidRPr="004B3A9B">
        <w:rPr>
          <w:rFonts w:eastAsia="SimSun"/>
          <w:b/>
          <w:bCs/>
          <w:szCs w:val="24"/>
          <w:lang w:val="en-SE" w:eastAsia="zh-CN"/>
        </w:rPr>
        <w:t xml:space="preserve">o specification impact of the “new emission BW” </w:t>
      </w:r>
      <w:r w:rsidR="00307296">
        <w:rPr>
          <w:rFonts w:eastAsia="SimSun"/>
          <w:b/>
          <w:bCs/>
          <w:szCs w:val="24"/>
          <w:lang w:val="en-SE" w:eastAsia="zh-CN"/>
        </w:rPr>
        <w:t xml:space="preserve">if it </w:t>
      </w:r>
      <w:r w:rsidRPr="004B3A9B">
        <w:rPr>
          <w:rFonts w:eastAsia="SimSun"/>
          <w:b/>
          <w:bCs/>
          <w:szCs w:val="24"/>
          <w:lang w:val="en-SE" w:eastAsia="zh-CN"/>
        </w:rPr>
        <w:t xml:space="preserve">is one of the </w:t>
      </w:r>
      <w:proofErr w:type="spellStart"/>
      <w:r w:rsidRPr="004B3A9B">
        <w:rPr>
          <w:rFonts w:eastAsia="SimSun"/>
          <w:b/>
          <w:bCs/>
          <w:szCs w:val="24"/>
          <w:lang w:val="en-SE" w:eastAsia="zh-CN"/>
        </w:rPr>
        <w:t>CBWs</w:t>
      </w:r>
      <w:proofErr w:type="spellEnd"/>
      <w:r w:rsidRPr="004B3A9B">
        <w:rPr>
          <w:rFonts w:eastAsia="SimSun"/>
          <w:b/>
          <w:bCs/>
          <w:szCs w:val="24"/>
          <w:lang w:val="en-SE" w:eastAsia="zh-CN"/>
        </w:rPr>
        <w:t xml:space="preserve"> that the UE can support.</w:t>
      </w:r>
    </w:p>
    <w:p w14:paraId="7CDE7423" w14:textId="3FB3001D" w:rsidR="000352BA" w:rsidRPr="004B3A9B" w:rsidRDefault="000352BA" w:rsidP="004B3A9B">
      <w:pPr>
        <w:spacing w:after="120"/>
        <w:jc w:val="both"/>
        <w:rPr>
          <w:rFonts w:eastAsia="SimSun"/>
          <w:b/>
          <w:bCs/>
          <w:szCs w:val="24"/>
          <w:lang w:val="en-SE" w:eastAsia="zh-CN"/>
        </w:rPr>
      </w:pPr>
      <w:r w:rsidRPr="004B3A9B">
        <w:rPr>
          <w:rFonts w:eastAsia="SimSun"/>
          <w:b/>
          <w:bCs/>
          <w:szCs w:val="24"/>
          <w:lang w:val="en-SE" w:eastAsia="zh-CN"/>
        </w:rPr>
        <w:t xml:space="preserve">Proposal 7:  RAN4 focuses on the case that “new emission BW” is wider than the maximum UE CBW </w:t>
      </w:r>
      <w:r>
        <w:rPr>
          <w:rFonts w:eastAsia="SimSun"/>
          <w:b/>
          <w:bCs/>
          <w:szCs w:val="24"/>
          <w:lang w:val="en-SE" w:eastAsia="zh-CN"/>
        </w:rPr>
        <w:t xml:space="preserve">that </w:t>
      </w:r>
      <w:r w:rsidRPr="004B3A9B">
        <w:rPr>
          <w:rFonts w:eastAsia="SimSun"/>
          <w:b/>
          <w:bCs/>
          <w:szCs w:val="24"/>
          <w:lang w:val="en-SE" w:eastAsia="zh-CN"/>
        </w:rPr>
        <w:t xml:space="preserve">it can support. </w:t>
      </w:r>
    </w:p>
    <w:p w14:paraId="3706865B" w14:textId="7EFAACBF" w:rsidR="00C427FD" w:rsidRDefault="00E61B23" w:rsidP="004B3A9B">
      <w:pPr>
        <w:pStyle w:val="Heading1"/>
        <w:rPr>
          <w:lang w:val="en-US"/>
        </w:rPr>
      </w:pPr>
      <w:r>
        <w:rPr>
          <w:b w:val="0"/>
          <w:lang w:val="en-SE"/>
        </w:rPr>
        <w:t>Signalling</w:t>
      </w:r>
      <w:r w:rsidR="00E21E64">
        <w:rPr>
          <w:b w:val="0"/>
          <w:lang w:val="en-SE"/>
        </w:rPr>
        <w:t xml:space="preserve"> of the new emission BW</w:t>
      </w:r>
    </w:p>
    <w:p w14:paraId="27E6BA9D" w14:textId="655B61B6" w:rsidR="00AA5C99" w:rsidRDefault="00A86658" w:rsidP="00C93681">
      <w:pPr>
        <w:pStyle w:val="BodyText"/>
        <w:jc w:val="both"/>
        <w:rPr>
          <w:lang w:val="en-US"/>
        </w:rPr>
      </w:pPr>
      <w:r>
        <w:rPr>
          <w:lang w:val="en-US"/>
        </w:rPr>
        <w:t>With having</w:t>
      </w:r>
      <w:r w:rsidR="009C1491">
        <w:rPr>
          <w:lang w:val="en-US"/>
        </w:rPr>
        <w:t xml:space="preserve"> defin</w:t>
      </w:r>
      <w:r>
        <w:rPr>
          <w:lang w:val="en-US"/>
        </w:rPr>
        <w:t xml:space="preserve">ed </w:t>
      </w:r>
      <w:r w:rsidR="009C1491">
        <w:rPr>
          <w:lang w:val="en-US"/>
        </w:rPr>
        <w:t xml:space="preserve">the operation mechanism and applicable bandwidth of </w:t>
      </w:r>
      <w:r>
        <w:rPr>
          <w:lang w:val="en-US"/>
        </w:rPr>
        <w:t>the new emission BW above</w:t>
      </w:r>
      <w:r w:rsidR="00E21E64">
        <w:rPr>
          <w:lang w:val="en-US"/>
        </w:rPr>
        <w:t xml:space="preserve">, </w:t>
      </w:r>
      <w:r w:rsidR="00C93681" w:rsidRPr="00C93681">
        <w:rPr>
          <w:lang w:val="en-US"/>
        </w:rPr>
        <w:t xml:space="preserve"> how to signal </w:t>
      </w:r>
      <w:r w:rsidR="00C93681">
        <w:rPr>
          <w:lang w:val="en-US"/>
        </w:rPr>
        <w:t xml:space="preserve">this </w:t>
      </w:r>
      <w:r w:rsidR="0081593C">
        <w:rPr>
          <w:lang w:val="en-US"/>
        </w:rPr>
        <w:t>“</w:t>
      </w:r>
      <w:r w:rsidR="00C93681">
        <w:rPr>
          <w:lang w:val="en-US"/>
        </w:rPr>
        <w:t xml:space="preserve">new </w:t>
      </w:r>
      <w:r w:rsidR="008A052E">
        <w:rPr>
          <w:lang w:val="en-US"/>
        </w:rPr>
        <w:t>emission BW</w:t>
      </w:r>
      <w:r w:rsidR="0081593C">
        <w:rPr>
          <w:lang w:val="en-US"/>
        </w:rPr>
        <w:t>”</w:t>
      </w:r>
      <w:r w:rsidR="009C1491">
        <w:rPr>
          <w:lang w:val="en-US"/>
        </w:rPr>
        <w:t xml:space="preserve"> </w:t>
      </w:r>
      <w:r>
        <w:rPr>
          <w:lang w:val="en-US"/>
        </w:rPr>
        <w:t xml:space="preserve">to UE </w:t>
      </w:r>
      <w:r w:rsidR="009C1491">
        <w:rPr>
          <w:lang w:val="en-US"/>
        </w:rPr>
        <w:t>is still a</w:t>
      </w:r>
      <w:r>
        <w:rPr>
          <w:lang w:val="en-US"/>
        </w:rPr>
        <w:t>n</w:t>
      </w:r>
      <w:r w:rsidR="009C1491">
        <w:rPr>
          <w:lang w:val="en-US"/>
        </w:rPr>
        <w:t xml:space="preserve"> open issue</w:t>
      </w:r>
      <w:r w:rsidR="00C41098">
        <w:rPr>
          <w:lang w:val="en-US"/>
        </w:rPr>
        <w:t xml:space="preserve">. </w:t>
      </w:r>
      <w:r w:rsidR="008A052E">
        <w:rPr>
          <w:lang w:val="en-US"/>
        </w:rPr>
        <w:t>In RAN4#112, two approaches have been proposed</w:t>
      </w:r>
      <w:r>
        <w:rPr>
          <w:lang w:val="en-US"/>
        </w:rPr>
        <w:t xml:space="preserve">: one is to define a new “extended UE CBW” while the other is to adopt the BS CBW, which has already been included </w:t>
      </w:r>
      <w:r w:rsidR="007C31C9">
        <w:rPr>
          <w:lang w:val="en-US"/>
        </w:rPr>
        <w:t>in SIB1</w:t>
      </w:r>
      <w:r w:rsidR="00E85FA8">
        <w:rPr>
          <w:lang w:val="en-US"/>
        </w:rPr>
        <w:t xml:space="preserve"> as </w:t>
      </w:r>
      <w:proofErr w:type="spellStart"/>
      <w:r w:rsidR="00E85FA8" w:rsidRPr="00737550">
        <w:rPr>
          <w:lang w:val="en-US"/>
        </w:rPr>
        <w:t>carrierBandwidth</w:t>
      </w:r>
      <w:proofErr w:type="spellEnd"/>
      <w:r w:rsidR="007C31C9">
        <w:rPr>
          <w:lang w:val="en-US"/>
        </w:rPr>
        <w:t xml:space="preserve">. </w:t>
      </w:r>
      <w:r w:rsidR="009F31D3">
        <w:rPr>
          <w:lang w:val="en-US"/>
        </w:rPr>
        <w:t>Both approaches have pros and cons</w:t>
      </w:r>
      <w:r>
        <w:rPr>
          <w:lang w:val="en-US"/>
        </w:rPr>
        <w:t>,</w:t>
      </w:r>
      <w:r w:rsidR="009F31D3">
        <w:rPr>
          <w:lang w:val="en-US"/>
        </w:rPr>
        <w:t xml:space="preserve"> and we summarize our analysis in Table I. </w:t>
      </w:r>
    </w:p>
    <w:p w14:paraId="16FC3333" w14:textId="77777777" w:rsidR="00E61B23" w:rsidRDefault="00E61B23" w:rsidP="00C93681">
      <w:pPr>
        <w:pStyle w:val="BodyText"/>
        <w:jc w:val="both"/>
        <w:rPr>
          <w:lang w:val="en-US"/>
        </w:rPr>
      </w:pPr>
    </w:p>
    <w:p w14:paraId="2BE9A2A5" w14:textId="12AB1EA6" w:rsidR="007C31C9" w:rsidRPr="009F31D3" w:rsidRDefault="009F31D3" w:rsidP="009F31D3">
      <w:pPr>
        <w:pStyle w:val="BodyText"/>
        <w:jc w:val="center"/>
        <w:rPr>
          <w:b/>
          <w:bCs/>
          <w:lang w:val="en-US"/>
        </w:rPr>
      </w:pPr>
      <w:r w:rsidRPr="009F31D3">
        <w:rPr>
          <w:b/>
          <w:bCs/>
          <w:lang w:val="en-US"/>
        </w:rPr>
        <w:lastRenderedPageBreak/>
        <w:t>Table I.</w:t>
      </w:r>
      <w:r>
        <w:rPr>
          <w:b/>
          <w:bCs/>
          <w:lang w:val="en-US"/>
        </w:rPr>
        <w:t xml:space="preserve"> </w:t>
      </w:r>
      <w:r w:rsidR="006A2F6A">
        <w:rPr>
          <w:b/>
          <w:bCs/>
          <w:lang w:val="en-US"/>
        </w:rPr>
        <w:t xml:space="preserve">The pros and cons </w:t>
      </w:r>
      <w:r w:rsidR="00EE55D5">
        <w:rPr>
          <w:b/>
          <w:bCs/>
          <w:lang w:val="en-US"/>
        </w:rPr>
        <w:t xml:space="preserve">of a </w:t>
      </w:r>
      <w:r w:rsidR="006A2F6A">
        <w:rPr>
          <w:b/>
          <w:bCs/>
          <w:lang w:val="en-US"/>
        </w:rPr>
        <w:t xml:space="preserve">different definition of </w:t>
      </w:r>
      <w:r w:rsidR="000D2846">
        <w:rPr>
          <w:b/>
          <w:bCs/>
          <w:lang w:val="en-US"/>
        </w:rPr>
        <w:t>t</w:t>
      </w:r>
      <w:r w:rsidR="000D2846" w:rsidRPr="00156B98">
        <w:rPr>
          <w:b/>
          <w:bCs/>
          <w:lang w:val="en-US"/>
        </w:rPr>
        <w:t xml:space="preserve">he </w:t>
      </w:r>
      <w:r w:rsidR="0081593C">
        <w:rPr>
          <w:b/>
          <w:bCs/>
          <w:lang w:val="en-US"/>
        </w:rPr>
        <w:t>“</w:t>
      </w:r>
      <w:r w:rsidR="000D2846" w:rsidRPr="00156B98">
        <w:rPr>
          <w:b/>
          <w:bCs/>
          <w:lang w:val="en-US"/>
        </w:rPr>
        <w:t>new emission BW</w:t>
      </w:r>
      <w:r w:rsidR="00EE55D5">
        <w:rPr>
          <w:b/>
          <w:bCs/>
          <w:lang w:val="en-US"/>
        </w:rPr>
        <w:t>.</w:t>
      </w:r>
      <w:r w:rsidR="0081593C">
        <w:rPr>
          <w:b/>
          <w:bCs/>
          <w:lang w:val="en-US"/>
        </w:rPr>
        <w:t>”</w:t>
      </w:r>
    </w:p>
    <w:tbl>
      <w:tblPr>
        <w:tblStyle w:val="TableGrid"/>
        <w:tblW w:w="0" w:type="auto"/>
        <w:tblLook w:val="04A0" w:firstRow="1" w:lastRow="0" w:firstColumn="1" w:lastColumn="0" w:noHBand="0" w:noVBand="1"/>
      </w:tblPr>
      <w:tblGrid>
        <w:gridCol w:w="3285"/>
        <w:gridCol w:w="3285"/>
        <w:gridCol w:w="3285"/>
      </w:tblGrid>
      <w:tr w:rsidR="007C31C9" w14:paraId="37114DD5" w14:textId="77777777" w:rsidTr="007C31C9">
        <w:tc>
          <w:tcPr>
            <w:tcW w:w="3285" w:type="dxa"/>
          </w:tcPr>
          <w:p w14:paraId="340DF72B" w14:textId="6BB658BB" w:rsidR="007C31C9" w:rsidRPr="00156B98" w:rsidRDefault="00156B98" w:rsidP="00C93681">
            <w:pPr>
              <w:pStyle w:val="BodyText"/>
              <w:jc w:val="both"/>
              <w:rPr>
                <w:b/>
                <w:bCs/>
                <w:lang w:val="en-US"/>
              </w:rPr>
            </w:pPr>
            <w:r w:rsidRPr="00156B98">
              <w:rPr>
                <w:b/>
                <w:bCs/>
                <w:lang w:val="en-US"/>
              </w:rPr>
              <w:t xml:space="preserve">The </w:t>
            </w:r>
            <w:r w:rsidR="0081593C">
              <w:rPr>
                <w:b/>
                <w:bCs/>
                <w:lang w:val="en-US"/>
              </w:rPr>
              <w:t>“</w:t>
            </w:r>
            <w:r w:rsidRPr="00156B98">
              <w:rPr>
                <w:b/>
                <w:bCs/>
                <w:lang w:val="en-US"/>
              </w:rPr>
              <w:t>new emission BW</w:t>
            </w:r>
            <w:r w:rsidR="0081593C">
              <w:rPr>
                <w:b/>
                <w:bCs/>
                <w:lang w:val="en-US"/>
              </w:rPr>
              <w:t>”</w:t>
            </w:r>
            <w:r w:rsidR="00C41098" w:rsidRPr="00156B98">
              <w:rPr>
                <w:b/>
                <w:bCs/>
                <w:lang w:val="en-US"/>
              </w:rPr>
              <w:t xml:space="preserve"> </w:t>
            </w:r>
            <w:r w:rsidRPr="00156B98">
              <w:rPr>
                <w:b/>
                <w:bCs/>
                <w:lang w:val="en-US"/>
              </w:rPr>
              <w:t>definition</w:t>
            </w:r>
          </w:p>
        </w:tc>
        <w:tc>
          <w:tcPr>
            <w:tcW w:w="3285" w:type="dxa"/>
          </w:tcPr>
          <w:p w14:paraId="16D000C5" w14:textId="24F00B0E" w:rsidR="007C31C9" w:rsidRPr="00156B98" w:rsidRDefault="007C31C9" w:rsidP="00C93681">
            <w:pPr>
              <w:pStyle w:val="BodyText"/>
              <w:jc w:val="both"/>
              <w:rPr>
                <w:b/>
                <w:bCs/>
                <w:lang w:val="en-US"/>
              </w:rPr>
            </w:pPr>
            <w:r w:rsidRPr="00156B98">
              <w:rPr>
                <w:b/>
                <w:bCs/>
                <w:lang w:val="en-US"/>
              </w:rPr>
              <w:t>Pros</w:t>
            </w:r>
          </w:p>
        </w:tc>
        <w:tc>
          <w:tcPr>
            <w:tcW w:w="3285" w:type="dxa"/>
          </w:tcPr>
          <w:p w14:paraId="44BA385E" w14:textId="42DE3177" w:rsidR="007C31C9" w:rsidRPr="00156B98" w:rsidRDefault="007C31C9" w:rsidP="00C93681">
            <w:pPr>
              <w:pStyle w:val="BodyText"/>
              <w:jc w:val="both"/>
              <w:rPr>
                <w:b/>
                <w:bCs/>
                <w:lang w:val="en-US"/>
              </w:rPr>
            </w:pPr>
            <w:r w:rsidRPr="00156B98">
              <w:rPr>
                <w:b/>
                <w:bCs/>
                <w:lang w:val="en-US"/>
              </w:rPr>
              <w:t>Cons</w:t>
            </w:r>
          </w:p>
        </w:tc>
      </w:tr>
      <w:tr w:rsidR="007C31C9" w14:paraId="44887E08" w14:textId="77777777" w:rsidTr="007C31C9">
        <w:tc>
          <w:tcPr>
            <w:tcW w:w="3285" w:type="dxa"/>
          </w:tcPr>
          <w:p w14:paraId="2DE3BC7F" w14:textId="5E4732A6" w:rsidR="007C31C9" w:rsidRPr="00156B98" w:rsidRDefault="007C31C9" w:rsidP="00C93681">
            <w:pPr>
              <w:pStyle w:val="BodyText"/>
              <w:jc w:val="both"/>
              <w:rPr>
                <w:b/>
                <w:bCs/>
                <w:lang w:val="en-US"/>
              </w:rPr>
            </w:pPr>
            <w:r w:rsidRPr="00156B98">
              <w:rPr>
                <w:b/>
                <w:bCs/>
                <w:lang w:val="en-US"/>
              </w:rPr>
              <w:t>extended UE CBW</w:t>
            </w:r>
          </w:p>
        </w:tc>
        <w:tc>
          <w:tcPr>
            <w:tcW w:w="3285" w:type="dxa"/>
          </w:tcPr>
          <w:p w14:paraId="14C31EFE" w14:textId="662ED6D8" w:rsidR="007C31C9" w:rsidRDefault="00EE55D5" w:rsidP="00C93681">
            <w:pPr>
              <w:pStyle w:val="BodyText"/>
              <w:jc w:val="both"/>
              <w:rPr>
                <w:lang w:val="en-US"/>
              </w:rPr>
            </w:pPr>
            <w:r>
              <w:rPr>
                <w:lang w:val="en-US"/>
              </w:rPr>
              <w:t xml:space="preserve">It can be used more flexibly, which can </w:t>
            </w:r>
            <w:r w:rsidR="007C31C9">
              <w:rPr>
                <w:lang w:val="en-US"/>
              </w:rPr>
              <w:t xml:space="preserve">support </w:t>
            </w:r>
            <w:r w:rsidR="000F6A01">
              <w:rPr>
                <w:lang w:val="en-US"/>
              </w:rPr>
              <w:t xml:space="preserve">the </w:t>
            </w:r>
            <w:r w:rsidR="001D4CA3">
              <w:rPr>
                <w:lang w:val="en-US"/>
              </w:rPr>
              <w:t xml:space="preserve">scenario </w:t>
            </w:r>
            <w:r w:rsidR="000F6A01">
              <w:rPr>
                <w:lang w:val="en-US"/>
              </w:rPr>
              <w:t>that the operator spectrum is wider than a single BS CBW</w:t>
            </w:r>
          </w:p>
        </w:tc>
        <w:tc>
          <w:tcPr>
            <w:tcW w:w="3285" w:type="dxa"/>
          </w:tcPr>
          <w:p w14:paraId="1C88BB5C" w14:textId="01414795" w:rsidR="007C31C9" w:rsidRDefault="000F6A01" w:rsidP="00C93681">
            <w:pPr>
              <w:pStyle w:val="BodyText"/>
              <w:jc w:val="both"/>
              <w:rPr>
                <w:lang w:val="en-US"/>
              </w:rPr>
            </w:pPr>
            <w:r>
              <w:rPr>
                <w:lang w:val="en-US"/>
              </w:rPr>
              <w:t>Additional signaling overhead</w:t>
            </w:r>
            <w:r w:rsidR="008F50C4">
              <w:rPr>
                <w:lang w:val="en-US"/>
              </w:rPr>
              <w:t xml:space="preserve"> and specification work</w:t>
            </w:r>
            <w:r w:rsidR="00EE55D5">
              <w:rPr>
                <w:lang w:val="en-US"/>
              </w:rPr>
              <w:t>, such as the concept of extended UE CBW,</w:t>
            </w:r>
            <w:r>
              <w:rPr>
                <w:lang w:val="en-US"/>
              </w:rPr>
              <w:t xml:space="preserve"> does not </w:t>
            </w:r>
            <w:r w:rsidR="00EE55D5">
              <w:rPr>
                <w:lang w:val="en-US"/>
              </w:rPr>
              <w:t xml:space="preserve">exist </w:t>
            </w:r>
            <w:r w:rsidR="008F50C4">
              <w:rPr>
                <w:lang w:val="en-US"/>
              </w:rPr>
              <w:t xml:space="preserve">as </w:t>
            </w:r>
            <w:r w:rsidR="00EE55D5">
              <w:rPr>
                <w:lang w:val="en-US"/>
              </w:rPr>
              <w:t xml:space="preserve">of </w:t>
            </w:r>
            <w:r w:rsidR="008F50C4">
              <w:rPr>
                <w:lang w:val="en-US"/>
              </w:rPr>
              <w:t xml:space="preserve">today. </w:t>
            </w:r>
          </w:p>
        </w:tc>
      </w:tr>
      <w:tr w:rsidR="007C31C9" w14:paraId="3AE986C5" w14:textId="77777777" w:rsidTr="007C31C9">
        <w:tc>
          <w:tcPr>
            <w:tcW w:w="3285" w:type="dxa"/>
          </w:tcPr>
          <w:p w14:paraId="4357C8EE" w14:textId="08E370F6" w:rsidR="007C31C9" w:rsidRPr="00156B98" w:rsidRDefault="007C31C9" w:rsidP="00C93681">
            <w:pPr>
              <w:pStyle w:val="BodyText"/>
              <w:jc w:val="both"/>
              <w:rPr>
                <w:b/>
                <w:bCs/>
                <w:lang w:val="en-US"/>
              </w:rPr>
            </w:pPr>
            <w:r w:rsidRPr="00156B98">
              <w:rPr>
                <w:b/>
                <w:bCs/>
                <w:lang w:val="en-US"/>
              </w:rPr>
              <w:t>BS CBW</w:t>
            </w:r>
          </w:p>
        </w:tc>
        <w:tc>
          <w:tcPr>
            <w:tcW w:w="3285" w:type="dxa"/>
          </w:tcPr>
          <w:p w14:paraId="19C42C01" w14:textId="4063D12E" w:rsidR="007C31C9" w:rsidRDefault="007C31C9" w:rsidP="00C93681">
            <w:pPr>
              <w:pStyle w:val="BodyText"/>
              <w:jc w:val="both"/>
              <w:rPr>
                <w:lang w:val="en-US"/>
              </w:rPr>
            </w:pPr>
            <w:r>
              <w:rPr>
                <w:lang w:val="en-US"/>
              </w:rPr>
              <w:t>Lower signaling overhead</w:t>
            </w:r>
            <w:r w:rsidR="008F50C4">
              <w:rPr>
                <w:lang w:val="en-US"/>
              </w:rPr>
              <w:t xml:space="preserve"> and </w:t>
            </w:r>
            <w:r w:rsidR="00156B98">
              <w:rPr>
                <w:lang w:val="en-US"/>
              </w:rPr>
              <w:t>minimal spec impact</w:t>
            </w:r>
            <w:r>
              <w:rPr>
                <w:lang w:val="en-US"/>
              </w:rPr>
              <w:t xml:space="preserve"> as BS CBW has already been indicated in SIB1 </w:t>
            </w:r>
            <w:r w:rsidR="00E85FA8">
              <w:rPr>
                <w:lang w:val="en-US"/>
              </w:rPr>
              <w:t xml:space="preserve">as </w:t>
            </w:r>
            <w:proofErr w:type="spellStart"/>
            <w:r w:rsidR="00E85FA8" w:rsidRPr="00737550">
              <w:rPr>
                <w:lang w:val="en-US"/>
              </w:rPr>
              <w:t>carrierBandwidth</w:t>
            </w:r>
            <w:proofErr w:type="spellEnd"/>
          </w:p>
        </w:tc>
        <w:tc>
          <w:tcPr>
            <w:tcW w:w="3285" w:type="dxa"/>
          </w:tcPr>
          <w:p w14:paraId="15D8D82A" w14:textId="505CB870" w:rsidR="007C31C9" w:rsidRDefault="00156B98" w:rsidP="00C93681">
            <w:pPr>
              <w:pStyle w:val="BodyText"/>
              <w:jc w:val="both"/>
              <w:rPr>
                <w:lang w:val="en-US"/>
              </w:rPr>
            </w:pPr>
            <w:r>
              <w:rPr>
                <w:lang w:val="en-US"/>
              </w:rPr>
              <w:t xml:space="preserve">The </w:t>
            </w:r>
            <w:r w:rsidR="00C55C8E">
              <w:rPr>
                <w:lang w:val="en-US"/>
              </w:rPr>
              <w:t xml:space="preserve">MPR reduction </w:t>
            </w:r>
            <w:r w:rsidR="00EE55D5">
              <w:rPr>
                <w:lang w:val="en-US"/>
              </w:rPr>
              <w:t xml:space="preserve">scenario </w:t>
            </w:r>
            <w:r w:rsidR="00C55C8E">
              <w:rPr>
                <w:lang w:val="en-US"/>
              </w:rPr>
              <w:t xml:space="preserve">is limited to </w:t>
            </w:r>
            <w:r w:rsidR="00EE55D5">
              <w:rPr>
                <w:lang w:val="en-US"/>
              </w:rPr>
              <w:t xml:space="preserve">a </w:t>
            </w:r>
            <w:r w:rsidR="00C55C8E">
              <w:rPr>
                <w:lang w:val="en-US"/>
              </w:rPr>
              <w:t xml:space="preserve">single BS CBW. </w:t>
            </w:r>
          </w:p>
        </w:tc>
      </w:tr>
    </w:tbl>
    <w:p w14:paraId="3D48E322" w14:textId="77777777" w:rsidR="00E85FA8" w:rsidRDefault="00E85FA8" w:rsidP="005170C8">
      <w:pPr>
        <w:pStyle w:val="BodyText"/>
        <w:jc w:val="both"/>
        <w:rPr>
          <w:lang w:val="en-US"/>
        </w:rPr>
      </w:pPr>
    </w:p>
    <w:p w14:paraId="55AA5D49" w14:textId="4869720D" w:rsidR="007A0451" w:rsidRPr="00B65B14" w:rsidRDefault="007A0451" w:rsidP="005170C8">
      <w:pPr>
        <w:pStyle w:val="BodyText"/>
        <w:jc w:val="both"/>
        <w:rPr>
          <w:b/>
          <w:bCs/>
          <w:lang w:val="en-SE"/>
        </w:rPr>
      </w:pPr>
      <w:r w:rsidRPr="00C02273">
        <w:rPr>
          <w:b/>
          <w:bCs/>
          <w:lang w:val="en-SE"/>
        </w:rPr>
        <w:t xml:space="preserve">Observation </w:t>
      </w:r>
      <w:r w:rsidR="00057936">
        <w:rPr>
          <w:b/>
          <w:bCs/>
          <w:lang w:val="en-SE"/>
        </w:rPr>
        <w:t>3</w:t>
      </w:r>
      <w:r w:rsidRPr="00C02273">
        <w:rPr>
          <w:b/>
          <w:bCs/>
          <w:lang w:val="en-SE"/>
        </w:rPr>
        <w:t xml:space="preserve">: From a </w:t>
      </w:r>
      <w:proofErr w:type="spellStart"/>
      <w:r w:rsidRPr="00C02273">
        <w:rPr>
          <w:b/>
          <w:bCs/>
          <w:lang w:val="en-SE"/>
        </w:rPr>
        <w:t>signaling</w:t>
      </w:r>
      <w:proofErr w:type="spellEnd"/>
      <w:r w:rsidRPr="00C02273">
        <w:rPr>
          <w:b/>
          <w:bCs/>
          <w:lang w:val="en-SE"/>
        </w:rPr>
        <w:t xml:space="preserve"> perspective, it is most straightforward for the UE to adopt the cell BW bandwidth as reference channel BW to perform the MRP reduction.</w:t>
      </w:r>
    </w:p>
    <w:p w14:paraId="4D08A51A" w14:textId="10494494" w:rsidR="00AA5C99" w:rsidRPr="005170C8" w:rsidRDefault="000D2846" w:rsidP="005170C8">
      <w:pPr>
        <w:pStyle w:val="BodyText"/>
        <w:jc w:val="both"/>
        <w:rPr>
          <w:lang w:val="en-US"/>
        </w:rPr>
      </w:pPr>
      <w:r w:rsidRPr="005170C8">
        <w:rPr>
          <w:lang w:val="en-US"/>
        </w:rPr>
        <w:t xml:space="preserve">RAN4 shall take into the </w:t>
      </w:r>
      <w:proofErr w:type="spellStart"/>
      <w:r w:rsidRPr="005170C8">
        <w:rPr>
          <w:lang w:val="en-US"/>
        </w:rPr>
        <w:t>the</w:t>
      </w:r>
      <w:proofErr w:type="spellEnd"/>
      <w:r w:rsidRPr="005170C8">
        <w:rPr>
          <w:lang w:val="en-US"/>
        </w:rPr>
        <w:t xml:space="preserve"> pros and cons into consideration and determine how </w:t>
      </w:r>
      <w:r w:rsidR="005170C8">
        <w:rPr>
          <w:lang w:val="en-US"/>
        </w:rPr>
        <w:t>to define the new emission BW.</w:t>
      </w:r>
    </w:p>
    <w:p w14:paraId="132E9140" w14:textId="686B1363" w:rsidR="00E930D4" w:rsidRPr="00E930D4" w:rsidRDefault="00E930D4" w:rsidP="005D3E85">
      <w:pPr>
        <w:pStyle w:val="Heading1"/>
        <w:numPr>
          <w:ilvl w:val="0"/>
          <w:numId w:val="8"/>
        </w:numPr>
        <w:jc w:val="both"/>
        <w:rPr>
          <w:b w:val="0"/>
          <w:lang w:val="en-US"/>
        </w:rPr>
      </w:pPr>
      <w:r>
        <w:rPr>
          <w:b w:val="0"/>
          <w:lang w:val="en-US"/>
        </w:rPr>
        <w:t>Performance gain</w:t>
      </w:r>
    </w:p>
    <w:p w14:paraId="64B8080A" w14:textId="404C78EF" w:rsidR="00383A60" w:rsidRPr="00433186" w:rsidRDefault="00470558" w:rsidP="005D3E85">
      <w:pPr>
        <w:pStyle w:val="BodyText"/>
        <w:jc w:val="both"/>
        <w:rPr>
          <w:lang w:eastAsia="x-none"/>
        </w:rPr>
      </w:pPr>
      <w:r>
        <w:rPr>
          <w:lang w:eastAsia="x-none"/>
        </w:rPr>
        <w:t>In addition to the</w:t>
      </w:r>
      <w:r w:rsidR="009E0E38">
        <w:rPr>
          <w:lang w:val="en-SE" w:eastAsia="x-none"/>
        </w:rPr>
        <w:t xml:space="preserve"> methodology study</w:t>
      </w:r>
      <w:r>
        <w:rPr>
          <w:lang w:eastAsia="x-none"/>
        </w:rPr>
        <w:t xml:space="preserve">,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F45974">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xml:space="preserve">, e.g., Redcap and </w:t>
      </w:r>
      <w:proofErr w:type="spellStart"/>
      <w:r w:rsidR="008C3196" w:rsidRPr="00433186">
        <w:rPr>
          <w:lang w:eastAsia="x-none"/>
        </w:rPr>
        <w:t>eRedcap</w:t>
      </w:r>
      <w:proofErr w:type="spellEnd"/>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w:t>
      </w:r>
      <w:r w:rsidR="0081593C" w:rsidRPr="00433186">
        <w:rPr>
          <w:lang w:eastAsia="x-none"/>
        </w:rPr>
        <w:t>operator</w:t>
      </w:r>
      <w:r w:rsidR="0081593C">
        <w:rPr>
          <w:lang w:eastAsia="x-none"/>
        </w:rPr>
        <w:t>’</w:t>
      </w:r>
      <w:r w:rsidR="0081593C" w:rsidRPr="00433186">
        <w:rPr>
          <w:lang w:eastAsia="x-none"/>
        </w:rPr>
        <w:t xml:space="preserve">s </w:t>
      </w:r>
      <w:r w:rsidR="00B01F89" w:rsidRPr="00433186">
        <w:rPr>
          <w:lang w:eastAsia="x-none"/>
        </w:rPr>
        <w:t>spectrum block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r w:rsidR="00AB1AC6" w:rsidRPr="00433186">
        <w:rPr>
          <w:lang w:eastAsia="x-none"/>
        </w:rPr>
        <w:t>to</w:t>
      </w:r>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1243E5DD" w:rsidR="008C3196" w:rsidRDefault="00D6240B" w:rsidP="005D3E85">
      <w:pPr>
        <w:pStyle w:val="BodyText"/>
        <w:jc w:val="both"/>
        <w:rPr>
          <w:b/>
          <w:bCs/>
          <w:lang w:val="en-US"/>
        </w:rPr>
      </w:pPr>
      <w:r w:rsidRPr="00C733F9">
        <w:rPr>
          <w:b/>
          <w:bCs/>
          <w:lang w:val="en-US"/>
        </w:rPr>
        <w:t xml:space="preserve">Observation </w:t>
      </w:r>
      <w:r w:rsidR="00057936">
        <w:rPr>
          <w:b/>
          <w:bCs/>
          <w:lang w:val="en-SE"/>
        </w:rPr>
        <w:t>4</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w:t>
      </w:r>
      <w:r w:rsidR="0081593C">
        <w:rPr>
          <w:b/>
          <w:bCs/>
          <w:lang w:val="en-US"/>
        </w:rPr>
        <w:t xml:space="preserve">operator’s </w:t>
      </w:r>
      <w:r w:rsidR="008C3196">
        <w:rPr>
          <w:b/>
          <w:bCs/>
          <w:lang w:val="en-US"/>
        </w:rPr>
        <w:t>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51D60CCD" w:rsidR="00D6240B" w:rsidRDefault="00D6240B" w:rsidP="00F57F85">
      <w:pPr>
        <w:pStyle w:val="BodyText"/>
        <w:jc w:val="both"/>
        <w:rPr>
          <w:b/>
          <w:bCs/>
          <w:lang w:val="en-US"/>
        </w:rPr>
      </w:pPr>
      <w:r w:rsidRPr="00C733F9">
        <w:rPr>
          <w:b/>
          <w:bCs/>
          <w:lang w:val="en-US"/>
        </w:rPr>
        <w:t xml:space="preserve">Observation </w:t>
      </w:r>
      <w:r w:rsidR="00057936">
        <w:rPr>
          <w:b/>
          <w:bCs/>
          <w:lang w:val="en-SE"/>
        </w:rPr>
        <w:t>5</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which </w:t>
      </w:r>
      <w:r w:rsidR="007E2EA9">
        <w:rPr>
          <w:b/>
          <w:bCs/>
          <w:lang w:val="en-US"/>
        </w:rPr>
        <w:t xml:space="preserve">makes it </w:t>
      </w:r>
      <w:r w:rsidR="007E2EA9" w:rsidRPr="00015664">
        <w:rPr>
          <w:b/>
          <w:bCs/>
          <w:lang w:val="en-US"/>
        </w:rPr>
        <w:t xml:space="preserve"> </w:t>
      </w:r>
      <w:r w:rsidR="00015664" w:rsidRPr="00015664">
        <w:rPr>
          <w:b/>
          <w:bCs/>
          <w:lang w:val="en-US"/>
        </w:rPr>
        <w:t>not</w:t>
      </w:r>
      <w:r w:rsidR="00581B82">
        <w:rPr>
          <w:b/>
          <w:bCs/>
          <w:lang w:val="en-US"/>
        </w:rPr>
        <w:t xml:space="preserve"> be</w:t>
      </w:r>
      <w:r w:rsidR="007E2EA9">
        <w:rPr>
          <w:b/>
          <w:bCs/>
          <w:lang w:val="en-US"/>
        </w:rPr>
        <w:t>ing</w:t>
      </w:r>
      <w:r w:rsidR="00015664" w:rsidRPr="00015664">
        <w:rPr>
          <w:b/>
          <w:bCs/>
          <w:lang w:val="en-US"/>
        </w:rPr>
        <w:t xml:space="preserve"> feasible </w:t>
      </w:r>
      <w:r w:rsidR="00B3200C">
        <w:rPr>
          <w:b/>
          <w:bCs/>
          <w:lang w:val="en-US"/>
        </w:rPr>
        <w:t xml:space="preserve">to move the UE away from the edge of the band. </w:t>
      </w:r>
    </w:p>
    <w:p w14:paraId="30F64DE4" w14:textId="1BB5F32F" w:rsidR="00B24BA7" w:rsidRDefault="00B24BA7" w:rsidP="00F57F85">
      <w:pPr>
        <w:pStyle w:val="BodyText"/>
        <w:jc w:val="both"/>
        <w:rPr>
          <w:b/>
          <w:bCs/>
          <w:lang w:val="en-US"/>
        </w:rPr>
      </w:pPr>
      <w:r>
        <w:rPr>
          <w:b/>
          <w:bCs/>
          <w:lang w:val="en-US"/>
        </w:rPr>
        <w:t xml:space="preserve">Proposal </w:t>
      </w:r>
      <w:r w:rsidR="009B39ED">
        <w:rPr>
          <w:b/>
          <w:bCs/>
          <w:lang w:val="en-SE"/>
        </w:rPr>
        <w:t>8</w:t>
      </w:r>
      <w:r>
        <w:rPr>
          <w:b/>
          <w:bCs/>
          <w:lang w:val="en-US"/>
        </w:rPr>
        <w:t xml:space="preserve">: RAN4 shall </w:t>
      </w:r>
      <w:r w:rsidR="008003F4">
        <w:rPr>
          <w:b/>
          <w:bCs/>
          <w:lang w:val="en-US"/>
        </w:rPr>
        <w:t>examine</w:t>
      </w:r>
      <w:r>
        <w:rPr>
          <w:b/>
          <w:bCs/>
          <w:lang w:val="en-US"/>
        </w:rPr>
        <w:t xml:space="preserve"> if the proposed </w:t>
      </w:r>
      <w:r w:rsidR="008003F4">
        <w:rPr>
          <w:b/>
          <w:bCs/>
          <w:lang w:val="en-US"/>
        </w:rPr>
        <w:t xml:space="preserve">MPR reduction scheme can be enabled for all types of UEs, including TDD and FDD, as well as normal UE, Redcap, and </w:t>
      </w:r>
      <w:proofErr w:type="spellStart"/>
      <w:r w:rsidR="008003F4">
        <w:rPr>
          <w:b/>
          <w:bCs/>
          <w:lang w:val="en-US"/>
        </w:rPr>
        <w:t>eRedcap</w:t>
      </w:r>
      <w:proofErr w:type="spellEnd"/>
      <w:r w:rsidR="008003F4">
        <w:rPr>
          <w:b/>
          <w:bCs/>
          <w:lang w:val="en-US"/>
        </w:rPr>
        <w:t xml:space="preserve"> UEs. </w:t>
      </w:r>
    </w:p>
    <w:p w14:paraId="69E204F0" w14:textId="5E75BBB0" w:rsidR="00F805A2" w:rsidRDefault="00F805A2" w:rsidP="00F57F85">
      <w:pPr>
        <w:pStyle w:val="BodyText"/>
        <w:jc w:val="both"/>
        <w:rPr>
          <w:lang w:eastAsia="x-none"/>
        </w:rPr>
      </w:pPr>
    </w:p>
    <w:p w14:paraId="59895008" w14:textId="44372D70" w:rsidR="00F805A2" w:rsidRDefault="00F805A2" w:rsidP="00F805A2">
      <w:pPr>
        <w:pStyle w:val="BodyText"/>
        <w:jc w:val="center"/>
        <w:rPr>
          <w:lang w:eastAsia="x-none"/>
        </w:rPr>
      </w:pPr>
      <w:r>
        <w:rPr>
          <w:noProof/>
        </w:rPr>
        <w:drawing>
          <wp:inline distT="0" distB="0" distL="0" distR="0" wp14:anchorId="13D701C0" wp14:editId="3A6AD0FB">
            <wp:extent cx="4165600" cy="282619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1455" cy="2830163"/>
                    </a:xfrm>
                    <a:prstGeom prst="rect">
                      <a:avLst/>
                    </a:prstGeom>
                    <a:noFill/>
                    <a:ln>
                      <a:noFill/>
                    </a:ln>
                  </pic:spPr>
                </pic:pic>
              </a:graphicData>
            </a:graphic>
          </wp:inline>
        </w:drawing>
      </w:r>
    </w:p>
    <w:p w14:paraId="21ADAB02" w14:textId="2E3F1C54" w:rsidR="00052CF7" w:rsidRPr="007E65F4" w:rsidRDefault="005F6E69" w:rsidP="00732C3A">
      <w:pPr>
        <w:pStyle w:val="BodyText"/>
        <w:jc w:val="center"/>
        <w:rPr>
          <w:b/>
          <w:bCs/>
          <w:sz w:val="16"/>
          <w:szCs w:val="16"/>
          <w:lang w:val="en-US"/>
        </w:rPr>
      </w:pPr>
      <w:r w:rsidRPr="0060199D">
        <w:rPr>
          <w:b/>
          <w:bCs/>
          <w:sz w:val="16"/>
          <w:szCs w:val="16"/>
          <w:lang w:val="en-US"/>
        </w:rPr>
        <w:t xml:space="preserve">Figure. </w:t>
      </w:r>
      <w:r w:rsidR="009B39ED">
        <w:rPr>
          <w:b/>
          <w:bCs/>
          <w:sz w:val="16"/>
          <w:szCs w:val="16"/>
          <w:lang w:val="en-SE"/>
        </w:rPr>
        <w:t>2</w:t>
      </w:r>
      <w:r w:rsidRPr="0060199D">
        <w:rPr>
          <w:b/>
          <w:bCs/>
          <w:sz w:val="16"/>
          <w:szCs w:val="16"/>
          <w:lang w:val="en-US"/>
        </w:rPr>
        <w:t>. The illustration of UE spectrum emission requirements in NR</w:t>
      </w:r>
    </w:p>
    <w:p w14:paraId="5F035307" w14:textId="462E9C94" w:rsidR="002B4083" w:rsidRPr="002B4083" w:rsidRDefault="002B4083" w:rsidP="008A237D">
      <w:pPr>
        <w:pStyle w:val="BodyText"/>
        <w:jc w:val="both"/>
        <w:rPr>
          <w:lang w:eastAsia="x-none"/>
        </w:rPr>
      </w:pPr>
      <w:r w:rsidRPr="00F805A2">
        <w:rPr>
          <w:lang w:eastAsia="x-none"/>
        </w:rPr>
        <w:t>From the UE implementation aspect, all the out-of-band emission limit</w:t>
      </w:r>
      <w:r>
        <w:rPr>
          <w:lang w:eastAsia="x-none"/>
        </w:rPr>
        <w:t>s, including ACLR, SEM, spurious emission, and spurious emission for co-existence, need</w:t>
      </w:r>
      <w:r w:rsidRPr="00F805A2">
        <w:rPr>
          <w:lang w:eastAsia="x-none"/>
        </w:rPr>
        <w:t xml:space="preserve"> to be examined</w:t>
      </w:r>
      <w:r>
        <w:rPr>
          <w:lang w:eastAsia="x-none"/>
        </w:rPr>
        <w:t xml:space="preserve"> to determine the appropriate MPR reduction</w:t>
      </w:r>
      <w:r w:rsidRPr="00F805A2">
        <w:rPr>
          <w:lang w:eastAsia="x-none"/>
        </w:rPr>
        <w:t>.</w:t>
      </w:r>
      <w:r>
        <w:rPr>
          <w:lang w:eastAsia="x-none"/>
        </w:rPr>
        <w:t xml:space="preserve"> As background information, the UE out-of-band emission limits are illustrated in Fig. </w:t>
      </w:r>
      <w:r w:rsidR="009B39ED">
        <w:rPr>
          <w:lang w:val="en-SE" w:eastAsia="x-none"/>
        </w:rPr>
        <w:t>2</w:t>
      </w:r>
      <w:r>
        <w:rPr>
          <w:lang w:eastAsia="x-none"/>
        </w:rPr>
        <w:t xml:space="preserve">. Depending on the UE RF front-end </w:t>
      </w:r>
      <w:r>
        <w:rPr>
          <w:lang w:eastAsia="x-none"/>
        </w:rPr>
        <w:lastRenderedPageBreak/>
        <w:t xml:space="preserve">implementations, the required MPR to meet each out-of-band emission is different with different RB allocations and frequency bands due to the spurious emission limit for the co-existence. </w:t>
      </w:r>
    </w:p>
    <w:p w14:paraId="1F476770" w14:textId="0539C059" w:rsidR="00052CF7" w:rsidRDefault="00052CF7" w:rsidP="008A237D">
      <w:pPr>
        <w:pStyle w:val="BodyText"/>
        <w:jc w:val="both"/>
        <w:rPr>
          <w:b/>
          <w:bCs/>
          <w:lang w:val="en-US"/>
        </w:rPr>
      </w:pPr>
      <w:r w:rsidRPr="00C733F9">
        <w:rPr>
          <w:b/>
          <w:bCs/>
          <w:lang w:val="en-US"/>
        </w:rPr>
        <w:t xml:space="preserve">Observation </w:t>
      </w:r>
      <w:r w:rsidR="009B39ED">
        <w:rPr>
          <w:b/>
          <w:bCs/>
          <w:lang w:val="en-SE"/>
        </w:rPr>
        <w:t>6</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1394BD00" w:rsidR="00C545FA" w:rsidRPr="00300D8D" w:rsidRDefault="0048102C" w:rsidP="00300D8D">
      <w:pPr>
        <w:pStyle w:val="BodyText"/>
        <w:rPr>
          <w:b/>
          <w:bCs/>
          <w:lang w:val="en-US" w:eastAsia="x-none"/>
        </w:rPr>
      </w:pPr>
      <w:r w:rsidRPr="00052CF7">
        <w:rPr>
          <w:b/>
          <w:bCs/>
          <w:lang w:val="en-US" w:eastAsia="x-none"/>
        </w:rPr>
        <w:t xml:space="preserve">Proposal </w:t>
      </w:r>
      <w:r w:rsidR="009B39ED">
        <w:rPr>
          <w:b/>
          <w:bCs/>
          <w:lang w:val="en-SE" w:eastAsia="x-none"/>
        </w:rPr>
        <w:t>9</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 band capability</w:t>
      </w:r>
      <w:r w:rsidR="00425174">
        <w:rPr>
          <w:b/>
          <w:bCs/>
          <w:lang w:val="en-US" w:eastAsia="x-none"/>
        </w:rPr>
        <w:t>.</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3468B9D0"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observation</w:t>
      </w:r>
      <w:r w:rsidR="0093276A">
        <w:rPr>
          <w:lang w:val="en-US"/>
        </w:rPr>
        <w:t>s</w:t>
      </w:r>
      <w:r w:rsidR="00300D8D">
        <w:rPr>
          <w:lang w:val="en-US"/>
        </w:rPr>
        <w:t xml:space="preserve"> and proposals are given: </w:t>
      </w:r>
    </w:p>
    <w:p w14:paraId="11DEF0C0" w14:textId="77777777" w:rsidR="00BB231D" w:rsidRDefault="00BB231D" w:rsidP="00BB231D">
      <w:pPr>
        <w:pStyle w:val="BodyText"/>
        <w:rPr>
          <w:b/>
          <w:bCs/>
          <w:lang w:val="en-US"/>
        </w:rPr>
      </w:pPr>
      <w:r>
        <w:rPr>
          <w:b/>
          <w:bCs/>
          <w:lang w:val="en-US"/>
        </w:rPr>
        <w:t xml:space="preserve">Observation 1: The MPR can be reduced </w:t>
      </w:r>
      <w:r w:rsidRPr="004B3A9B">
        <w:rPr>
          <w:b/>
          <w:bCs/>
          <w:lang w:val="en-US"/>
        </w:rPr>
        <w:t xml:space="preserve">via the transfer of the outer/edge RB allocation in legacy UE-specific CBW to the inner RB allocation of </w:t>
      </w:r>
      <w:r>
        <w:rPr>
          <w:b/>
          <w:bCs/>
          <w:lang w:val="en-US"/>
        </w:rPr>
        <w:t>a</w:t>
      </w:r>
      <w:r w:rsidRPr="004B3A9B">
        <w:rPr>
          <w:b/>
          <w:bCs/>
          <w:lang w:val="en-US"/>
        </w:rPr>
        <w:t xml:space="preserve"> </w:t>
      </w:r>
      <w:r>
        <w:rPr>
          <w:b/>
          <w:bCs/>
          <w:lang w:val="en-US"/>
        </w:rPr>
        <w:t>“</w:t>
      </w:r>
      <w:r w:rsidRPr="004B3A9B">
        <w:rPr>
          <w:b/>
          <w:bCs/>
          <w:lang w:val="en-US"/>
        </w:rPr>
        <w:t>new emission BW</w:t>
      </w:r>
      <w:r>
        <w:rPr>
          <w:b/>
          <w:bCs/>
          <w:lang w:val="en-US"/>
        </w:rPr>
        <w:t>”.</w:t>
      </w:r>
    </w:p>
    <w:p w14:paraId="4A6BFC47" w14:textId="7D253117" w:rsidR="00BB231D" w:rsidRDefault="00BB231D" w:rsidP="00BB231D">
      <w:pPr>
        <w:pStyle w:val="BodyText"/>
        <w:rPr>
          <w:rFonts w:eastAsia="SimSun"/>
          <w:b/>
          <w:bCs/>
          <w:szCs w:val="24"/>
          <w:lang w:val="en-SE" w:eastAsia="zh-CN"/>
        </w:rPr>
      </w:pPr>
      <w:r w:rsidRPr="008947D3">
        <w:rPr>
          <w:rFonts w:eastAsia="SimSun"/>
          <w:b/>
          <w:bCs/>
          <w:szCs w:val="24"/>
          <w:lang w:val="en-SE" w:eastAsia="zh-CN"/>
        </w:rPr>
        <w:t>Observation</w:t>
      </w:r>
      <w:r>
        <w:rPr>
          <w:rFonts w:eastAsia="SimSun"/>
          <w:b/>
          <w:bCs/>
          <w:szCs w:val="24"/>
          <w:lang w:val="en-SE" w:eastAsia="zh-CN"/>
        </w:rPr>
        <w:t xml:space="preserve"> 2</w:t>
      </w:r>
      <w:r w:rsidRPr="008947D3">
        <w:rPr>
          <w:rFonts w:eastAsia="SimSun"/>
          <w:b/>
          <w:bCs/>
          <w:szCs w:val="24"/>
          <w:lang w:val="en-SE" w:eastAsia="zh-CN"/>
        </w:rPr>
        <w:t xml:space="preserve">: </w:t>
      </w:r>
      <w:r>
        <w:rPr>
          <w:rFonts w:eastAsia="SimSun"/>
          <w:b/>
          <w:bCs/>
          <w:szCs w:val="24"/>
          <w:lang w:val="en-SE" w:eastAsia="zh-CN"/>
        </w:rPr>
        <w:t>A</w:t>
      </w:r>
      <w:r w:rsidRPr="008947D3">
        <w:rPr>
          <w:rFonts w:eastAsia="SimSun"/>
          <w:b/>
          <w:bCs/>
          <w:szCs w:val="24"/>
          <w:lang w:val="en-SE" w:eastAsia="zh-CN"/>
        </w:rPr>
        <w:t>llowing extended UE CBW go beyond the BS CBW may also shift the boundary of ACLR and SEM</w:t>
      </w:r>
      <w:r>
        <w:rPr>
          <w:rFonts w:eastAsia="SimSun"/>
          <w:b/>
          <w:bCs/>
          <w:szCs w:val="24"/>
          <w:lang w:val="en-SE" w:eastAsia="zh-CN"/>
        </w:rPr>
        <w:t>,</w:t>
      </w:r>
      <w:r w:rsidRPr="008947D3">
        <w:rPr>
          <w:rFonts w:eastAsia="SimSun"/>
          <w:b/>
          <w:bCs/>
          <w:szCs w:val="24"/>
          <w:lang w:val="en-SE" w:eastAsia="zh-CN"/>
        </w:rPr>
        <w:t xml:space="preserve"> which will cause risk for out</w:t>
      </w:r>
      <w:r>
        <w:rPr>
          <w:rFonts w:eastAsia="SimSun"/>
          <w:b/>
          <w:bCs/>
          <w:szCs w:val="24"/>
          <w:lang w:val="en-SE" w:eastAsia="zh-CN"/>
        </w:rPr>
        <w:t>-of-</w:t>
      </w:r>
      <w:r w:rsidRPr="008947D3">
        <w:rPr>
          <w:rFonts w:eastAsia="SimSun"/>
          <w:b/>
          <w:bCs/>
          <w:szCs w:val="24"/>
          <w:lang w:val="en-SE" w:eastAsia="zh-CN"/>
        </w:rPr>
        <w:t>band protection</w:t>
      </w:r>
      <w:r>
        <w:rPr>
          <w:rFonts w:eastAsia="SimSun"/>
          <w:b/>
          <w:bCs/>
          <w:szCs w:val="24"/>
          <w:lang w:val="en-SE" w:eastAsia="zh-CN"/>
        </w:rPr>
        <w:t>.</w:t>
      </w:r>
    </w:p>
    <w:p w14:paraId="2EBFC899" w14:textId="33D7DE05" w:rsidR="009A0B87" w:rsidRDefault="009A0B87" w:rsidP="009A0B87">
      <w:pPr>
        <w:pStyle w:val="BodyText"/>
        <w:jc w:val="both"/>
        <w:rPr>
          <w:b/>
          <w:bCs/>
          <w:lang w:val="en-SE"/>
        </w:rPr>
      </w:pPr>
      <w:r w:rsidRPr="00C02273">
        <w:rPr>
          <w:b/>
          <w:bCs/>
          <w:lang w:val="en-SE"/>
        </w:rPr>
        <w:t xml:space="preserve">Observation </w:t>
      </w:r>
      <w:r>
        <w:rPr>
          <w:b/>
          <w:bCs/>
          <w:lang w:val="en-SE"/>
        </w:rPr>
        <w:t>3</w:t>
      </w:r>
      <w:r w:rsidRPr="00C02273">
        <w:rPr>
          <w:b/>
          <w:bCs/>
          <w:lang w:val="en-SE"/>
        </w:rPr>
        <w:t xml:space="preserve">: From a </w:t>
      </w:r>
      <w:proofErr w:type="spellStart"/>
      <w:r w:rsidRPr="00C02273">
        <w:rPr>
          <w:b/>
          <w:bCs/>
          <w:lang w:val="en-SE"/>
        </w:rPr>
        <w:t>signaling</w:t>
      </w:r>
      <w:proofErr w:type="spellEnd"/>
      <w:r w:rsidRPr="00C02273">
        <w:rPr>
          <w:b/>
          <w:bCs/>
          <w:lang w:val="en-SE"/>
        </w:rPr>
        <w:t xml:space="preserve"> perspective, it is most straightforward for the UE to adopt the cell BW bandwidth as reference channel BW to perform the MRP reduction.</w:t>
      </w:r>
    </w:p>
    <w:p w14:paraId="20B002F5" w14:textId="77777777" w:rsidR="009A0B87" w:rsidRDefault="009A0B87" w:rsidP="009A0B87">
      <w:pPr>
        <w:pStyle w:val="BodyText"/>
        <w:jc w:val="both"/>
        <w:rPr>
          <w:b/>
          <w:bCs/>
          <w:lang w:val="en-US"/>
        </w:rPr>
      </w:pPr>
      <w:r w:rsidRPr="00C733F9">
        <w:rPr>
          <w:b/>
          <w:bCs/>
          <w:lang w:val="en-US"/>
        </w:rPr>
        <w:t xml:space="preserve">Observation </w:t>
      </w:r>
      <w:r>
        <w:rPr>
          <w:b/>
          <w:bCs/>
          <w:lang w:val="en-SE"/>
        </w:rPr>
        <w:t>4</w:t>
      </w:r>
      <w:r>
        <w:rPr>
          <w:b/>
          <w:bCs/>
          <w:lang w:val="en-US"/>
        </w:rPr>
        <w:t>: From the network aspect, allocating a device with narrow bandwidth towards the inner location within an operator’s spectrum block may not be a common scenario in real life since this may create spectrum fragmentation.</w:t>
      </w:r>
    </w:p>
    <w:p w14:paraId="1B90E50E" w14:textId="4C0DCC6C" w:rsidR="009A0B87" w:rsidRDefault="009A0B87" w:rsidP="009A0B87">
      <w:pPr>
        <w:pStyle w:val="BodyText"/>
        <w:jc w:val="both"/>
        <w:rPr>
          <w:b/>
          <w:bCs/>
          <w:lang w:val="en-US"/>
        </w:rPr>
      </w:pPr>
      <w:r w:rsidRPr="00C733F9">
        <w:rPr>
          <w:b/>
          <w:bCs/>
          <w:lang w:val="en-US"/>
        </w:rPr>
        <w:t xml:space="preserve">Observation </w:t>
      </w:r>
      <w:r>
        <w:rPr>
          <w:b/>
          <w:bCs/>
          <w:lang w:val="en-SE"/>
        </w:rPr>
        <w:t>5</w:t>
      </w:r>
      <w:r>
        <w:rPr>
          <w:b/>
          <w:bCs/>
          <w:lang w:val="en-US"/>
        </w:rPr>
        <w:t>: T</w:t>
      </w:r>
      <w:r w:rsidRPr="00015664">
        <w:rPr>
          <w:b/>
          <w:bCs/>
          <w:lang w:val="en-US"/>
        </w:rPr>
        <w:t>he frequency bands are usually small in FDD bands in sub 1</w:t>
      </w:r>
      <w:r>
        <w:rPr>
          <w:b/>
          <w:bCs/>
          <w:lang w:val="en-US"/>
        </w:rPr>
        <w:t xml:space="preserve"> </w:t>
      </w:r>
      <w:r w:rsidRPr="00015664">
        <w:rPr>
          <w:b/>
          <w:bCs/>
          <w:lang w:val="en-US"/>
        </w:rPr>
        <w:t xml:space="preserve">GHz, which </w:t>
      </w:r>
      <w:r>
        <w:rPr>
          <w:b/>
          <w:bCs/>
          <w:lang w:val="en-US"/>
        </w:rPr>
        <w:t xml:space="preserve">makes it </w:t>
      </w:r>
      <w:r w:rsidRPr="00015664">
        <w:rPr>
          <w:b/>
          <w:bCs/>
          <w:lang w:val="en-US"/>
        </w:rPr>
        <w:t xml:space="preserve"> not</w:t>
      </w:r>
      <w:r>
        <w:rPr>
          <w:b/>
          <w:bCs/>
          <w:lang w:val="en-US"/>
        </w:rPr>
        <w:t xml:space="preserve"> being</w:t>
      </w:r>
      <w:r w:rsidRPr="00015664">
        <w:rPr>
          <w:b/>
          <w:bCs/>
          <w:lang w:val="en-US"/>
        </w:rPr>
        <w:t xml:space="preserve"> feasible </w:t>
      </w:r>
      <w:r>
        <w:rPr>
          <w:b/>
          <w:bCs/>
          <w:lang w:val="en-US"/>
        </w:rPr>
        <w:t xml:space="preserve">to move the UE away from the edge of the band. </w:t>
      </w:r>
    </w:p>
    <w:p w14:paraId="486D1840" w14:textId="3F835125" w:rsidR="009A0B87" w:rsidRPr="009A0B87" w:rsidRDefault="009A0B87" w:rsidP="009A0B87">
      <w:pPr>
        <w:pStyle w:val="BodyText"/>
        <w:jc w:val="both"/>
        <w:rPr>
          <w:b/>
          <w:bCs/>
          <w:lang w:val="en-US"/>
        </w:rPr>
      </w:pPr>
      <w:r w:rsidRPr="00C733F9">
        <w:rPr>
          <w:b/>
          <w:bCs/>
          <w:lang w:val="en-US"/>
        </w:rPr>
        <w:t xml:space="preserve">Observation </w:t>
      </w:r>
      <w:r>
        <w:rPr>
          <w:b/>
          <w:bCs/>
          <w:lang w:val="en-SE"/>
        </w:rPr>
        <w:t>6</w:t>
      </w:r>
      <w:r>
        <w:rPr>
          <w:b/>
          <w:bCs/>
          <w:lang w:val="en-US"/>
        </w:rPr>
        <w:t>: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30C6A04F" w14:textId="77777777" w:rsidR="00BB231D" w:rsidRDefault="00BB231D" w:rsidP="00BB231D">
      <w:pPr>
        <w:pStyle w:val="BodyText"/>
        <w:rPr>
          <w:b/>
          <w:bCs/>
          <w:lang w:val="en-US"/>
        </w:rPr>
      </w:pPr>
      <w:r w:rsidRPr="00A85127">
        <w:rPr>
          <w:b/>
          <w:bCs/>
          <w:lang w:val="en-US"/>
        </w:rPr>
        <w:t xml:space="preserve">Proposal 1: </w:t>
      </w:r>
      <w:r>
        <w:rPr>
          <w:b/>
          <w:bCs/>
          <w:lang w:val="en-US"/>
        </w:rPr>
        <w:t>To reduce the MPR, define a new emission BW, and scale the</w:t>
      </w:r>
      <w:r w:rsidRPr="00A85127">
        <w:rPr>
          <w:b/>
          <w:bCs/>
          <w:lang w:val="en-US"/>
        </w:rPr>
        <w:t xml:space="preserve"> applicable frequencies</w:t>
      </w:r>
      <w:r>
        <w:rPr>
          <w:b/>
          <w:bCs/>
          <w:lang w:val="en-US"/>
        </w:rPr>
        <w:t xml:space="preserve"> of general emission limits, including IBE, SEM, ACLR, and SE,</w:t>
      </w:r>
      <w:r w:rsidRPr="00A85127">
        <w:rPr>
          <w:b/>
          <w:bCs/>
          <w:lang w:val="en-US"/>
        </w:rPr>
        <w:t xml:space="preserve"> </w:t>
      </w:r>
      <w:r>
        <w:rPr>
          <w:b/>
          <w:bCs/>
          <w:lang w:val="en-US"/>
        </w:rPr>
        <w:t>according to</w:t>
      </w:r>
      <w:r w:rsidRPr="00A85127">
        <w:rPr>
          <w:b/>
          <w:bCs/>
          <w:lang w:val="en-US"/>
        </w:rPr>
        <w:t xml:space="preserve"> this new emission BW. </w:t>
      </w:r>
    </w:p>
    <w:p w14:paraId="667C8B84" w14:textId="77777777" w:rsidR="00BB231D" w:rsidRPr="00A85127" w:rsidRDefault="00BB231D" w:rsidP="00BB231D">
      <w:pPr>
        <w:pStyle w:val="BodyText"/>
        <w:rPr>
          <w:b/>
          <w:bCs/>
          <w:lang w:val="en-US"/>
        </w:rPr>
      </w:pPr>
      <w:r>
        <w:rPr>
          <w:b/>
          <w:bCs/>
          <w:lang w:val="en-US"/>
        </w:rPr>
        <w:t>Proposal 2: To ensure the protection out of the frequency band, the new emission CBW</w:t>
      </w:r>
      <w:r w:rsidRPr="00BE3F53">
        <w:rPr>
          <w:b/>
          <w:bCs/>
          <w:lang w:val="en-US"/>
        </w:rPr>
        <w:t xml:space="preserve"> should not exceed the BS CBW</w:t>
      </w:r>
      <w:r>
        <w:rPr>
          <w:b/>
          <w:bCs/>
          <w:lang w:val="en-US"/>
        </w:rPr>
        <w:t>.</w:t>
      </w:r>
    </w:p>
    <w:p w14:paraId="293CADB1" w14:textId="77777777" w:rsidR="00BB231D" w:rsidRPr="00B309C4" w:rsidRDefault="00BB231D" w:rsidP="00BB231D">
      <w:pPr>
        <w:pStyle w:val="BodyText"/>
        <w:jc w:val="both"/>
        <w:rPr>
          <w:b/>
          <w:bCs/>
          <w:lang w:val="en-US"/>
        </w:rPr>
      </w:pPr>
      <w:r w:rsidRPr="00B309C4">
        <w:rPr>
          <w:b/>
          <w:bCs/>
          <w:lang w:val="en-US"/>
        </w:rPr>
        <w:t xml:space="preserve">Proposal </w:t>
      </w:r>
      <w:r>
        <w:rPr>
          <w:b/>
          <w:bCs/>
          <w:lang w:val="en-US"/>
        </w:rPr>
        <w:t>3</w:t>
      </w:r>
      <w:r w:rsidRPr="00B309C4">
        <w:rPr>
          <w:b/>
          <w:bCs/>
          <w:lang w:val="en-US"/>
        </w:rPr>
        <w:t xml:space="preserve">: No changes </w:t>
      </w:r>
      <w:r>
        <w:rPr>
          <w:b/>
          <w:bCs/>
          <w:lang w:val="en-US"/>
        </w:rPr>
        <w:t>to</w:t>
      </w:r>
      <w:r w:rsidRPr="00B309C4">
        <w:rPr>
          <w:b/>
          <w:bCs/>
          <w:lang w:val="en-US"/>
        </w:rPr>
        <w:t xml:space="preserve"> spurious emission for co-exi</w:t>
      </w:r>
      <w:r>
        <w:rPr>
          <w:b/>
          <w:bCs/>
          <w:lang w:val="en-US"/>
        </w:rPr>
        <w:t>s</w:t>
      </w:r>
      <w:r w:rsidRPr="00B309C4">
        <w:rPr>
          <w:b/>
          <w:bCs/>
          <w:lang w:val="en-US"/>
        </w:rPr>
        <w:t>tence or emission limit</w:t>
      </w:r>
      <w:r>
        <w:rPr>
          <w:b/>
          <w:bCs/>
          <w:lang w:val="en-US"/>
        </w:rPr>
        <w:t>s</w:t>
      </w:r>
      <w:r w:rsidRPr="00B309C4">
        <w:rPr>
          <w:b/>
          <w:bCs/>
          <w:lang w:val="en-US"/>
        </w:rPr>
        <w:t xml:space="preserve"> due to regulatory requirements</w:t>
      </w:r>
      <w:r>
        <w:rPr>
          <w:b/>
          <w:bCs/>
          <w:lang w:val="en-US"/>
        </w:rPr>
        <w:t xml:space="preserve"> with the new emission BW</w:t>
      </w:r>
      <w:r w:rsidRPr="00B309C4">
        <w:rPr>
          <w:b/>
          <w:bCs/>
          <w:lang w:val="en-US"/>
        </w:rPr>
        <w:t xml:space="preserve">. </w:t>
      </w:r>
    </w:p>
    <w:p w14:paraId="10A57D00" w14:textId="77777777" w:rsidR="00BB231D" w:rsidRPr="004B3A9B" w:rsidRDefault="00BB231D" w:rsidP="00BB231D">
      <w:pPr>
        <w:pStyle w:val="BodyText"/>
        <w:jc w:val="both"/>
        <w:rPr>
          <w:b/>
          <w:bCs/>
          <w:lang w:val="en-US"/>
        </w:rPr>
      </w:pPr>
      <w:r w:rsidRPr="009429A3">
        <w:rPr>
          <w:b/>
          <w:bCs/>
          <w:lang w:val="en-US"/>
        </w:rPr>
        <w:t xml:space="preserve">Proposal </w:t>
      </w:r>
      <w:r>
        <w:rPr>
          <w:b/>
          <w:bCs/>
          <w:lang w:val="en-US"/>
        </w:rPr>
        <w:t>4</w:t>
      </w:r>
      <w:r w:rsidRPr="009429A3">
        <w:rPr>
          <w:b/>
          <w:bCs/>
          <w:lang w:val="en-US"/>
        </w:rPr>
        <w:t>:</w:t>
      </w:r>
      <w:r>
        <w:rPr>
          <w:b/>
          <w:bCs/>
          <w:lang w:val="en-US"/>
        </w:rPr>
        <w:t xml:space="preserve"> Focus on the case that</w:t>
      </w:r>
      <w:r w:rsidRPr="009429A3">
        <w:rPr>
          <w:b/>
          <w:bCs/>
          <w:lang w:val="en-US"/>
        </w:rPr>
        <w:t xml:space="preserve"> </w:t>
      </w:r>
      <w:r w:rsidRPr="004B3A9B">
        <w:rPr>
          <w:b/>
          <w:bCs/>
          <w:lang w:val="en-US"/>
        </w:rPr>
        <w:t xml:space="preserve">the “new emission BW” is large enough to accommodate the legacy UE CBW to be fully inner allocated, </w:t>
      </w:r>
      <w:r>
        <w:rPr>
          <w:b/>
          <w:bCs/>
          <w:lang w:val="en-US"/>
        </w:rPr>
        <w:t xml:space="preserve">in </w:t>
      </w:r>
      <w:r w:rsidRPr="004B3A9B">
        <w:rPr>
          <w:b/>
          <w:bCs/>
          <w:lang w:val="en-US"/>
        </w:rPr>
        <w:t>which the “new emission BW”</w:t>
      </w:r>
      <w:r>
        <w:rPr>
          <w:b/>
          <w:bCs/>
          <w:lang w:val="en-US"/>
        </w:rPr>
        <w:t xml:space="preserve"> is</w:t>
      </w:r>
      <w:r w:rsidRPr="009429A3">
        <w:rPr>
          <w:b/>
          <w:bCs/>
          <w:lang w:val="en-US"/>
        </w:rPr>
        <w:t xml:space="preserve"> at least </w:t>
      </w:r>
      <w:r w:rsidRPr="004B3A9B">
        <w:rPr>
          <w:b/>
          <w:bCs/>
          <w:lang w:val="en-US"/>
        </w:rPr>
        <w:t>1.5* (legacy UE CBW).</w:t>
      </w:r>
    </w:p>
    <w:p w14:paraId="44E9B377" w14:textId="77777777" w:rsidR="008F7467" w:rsidRDefault="008F7467" w:rsidP="008F7467">
      <w:pPr>
        <w:pStyle w:val="BodyText"/>
        <w:jc w:val="both"/>
        <w:rPr>
          <w:rFonts w:eastAsia="SimSun"/>
          <w:b/>
          <w:bCs/>
          <w:color w:val="000000" w:themeColor="text1"/>
          <w:szCs w:val="24"/>
        </w:rPr>
      </w:pPr>
      <w:r>
        <w:rPr>
          <w:rFonts w:eastAsia="SimSun"/>
          <w:b/>
          <w:bCs/>
          <w:color w:val="000000" w:themeColor="text1"/>
          <w:szCs w:val="24"/>
        </w:rPr>
        <w:t xml:space="preserve">Proposal 5: the </w:t>
      </w:r>
      <w:r w:rsidRPr="004B3A9B">
        <w:rPr>
          <w:rFonts w:eastAsia="SimSun"/>
          <w:b/>
          <w:bCs/>
          <w:color w:val="000000" w:themeColor="text1"/>
          <w:szCs w:val="24"/>
        </w:rPr>
        <w:t>UE shall apply the emission limit according to the legacy UE CBW if the “new emission BW” is smaller than 1.5* (UE CBW).</w:t>
      </w:r>
    </w:p>
    <w:p w14:paraId="4F5BEB60" w14:textId="77777777" w:rsidR="00307296" w:rsidRPr="004B3A9B" w:rsidRDefault="00307296" w:rsidP="00307296">
      <w:pPr>
        <w:spacing w:after="120"/>
        <w:jc w:val="both"/>
        <w:rPr>
          <w:rFonts w:eastAsia="SimSun"/>
          <w:b/>
          <w:bCs/>
          <w:szCs w:val="24"/>
          <w:lang w:val="en-SE" w:eastAsia="zh-CN"/>
        </w:rPr>
      </w:pPr>
      <w:r w:rsidRPr="004B3A9B">
        <w:rPr>
          <w:rFonts w:eastAsia="SimSun"/>
          <w:b/>
          <w:bCs/>
          <w:szCs w:val="24"/>
          <w:lang w:val="en-SE" w:eastAsia="zh-CN"/>
        </w:rPr>
        <w:t xml:space="preserve">Proposal 6: </w:t>
      </w:r>
      <w:r>
        <w:rPr>
          <w:rFonts w:eastAsia="SimSun"/>
          <w:b/>
          <w:bCs/>
          <w:szCs w:val="24"/>
          <w:lang w:val="en-SE" w:eastAsia="zh-CN"/>
        </w:rPr>
        <w:t xml:space="preserve"> N</w:t>
      </w:r>
      <w:r w:rsidRPr="004B3A9B">
        <w:rPr>
          <w:rFonts w:eastAsia="SimSun"/>
          <w:b/>
          <w:bCs/>
          <w:szCs w:val="24"/>
          <w:lang w:val="en-SE" w:eastAsia="zh-CN"/>
        </w:rPr>
        <w:t xml:space="preserve">o specification impact of the “new emission BW” </w:t>
      </w:r>
      <w:r>
        <w:rPr>
          <w:rFonts w:eastAsia="SimSun"/>
          <w:b/>
          <w:bCs/>
          <w:szCs w:val="24"/>
          <w:lang w:val="en-SE" w:eastAsia="zh-CN"/>
        </w:rPr>
        <w:t xml:space="preserve">if it </w:t>
      </w:r>
      <w:r w:rsidRPr="004B3A9B">
        <w:rPr>
          <w:rFonts w:eastAsia="SimSun"/>
          <w:b/>
          <w:bCs/>
          <w:szCs w:val="24"/>
          <w:lang w:val="en-SE" w:eastAsia="zh-CN"/>
        </w:rPr>
        <w:t xml:space="preserve">is one of the </w:t>
      </w:r>
      <w:proofErr w:type="spellStart"/>
      <w:r w:rsidRPr="004B3A9B">
        <w:rPr>
          <w:rFonts w:eastAsia="SimSun"/>
          <w:b/>
          <w:bCs/>
          <w:szCs w:val="24"/>
          <w:lang w:val="en-SE" w:eastAsia="zh-CN"/>
        </w:rPr>
        <w:t>CBWs</w:t>
      </w:r>
      <w:proofErr w:type="spellEnd"/>
      <w:r w:rsidRPr="004B3A9B">
        <w:rPr>
          <w:rFonts w:eastAsia="SimSun"/>
          <w:b/>
          <w:bCs/>
          <w:szCs w:val="24"/>
          <w:lang w:val="en-SE" w:eastAsia="zh-CN"/>
        </w:rPr>
        <w:t xml:space="preserve"> that the UE can support.</w:t>
      </w:r>
    </w:p>
    <w:p w14:paraId="0AB1A737" w14:textId="77777777" w:rsidR="00307296" w:rsidRPr="004B3A9B" w:rsidRDefault="00307296" w:rsidP="00307296">
      <w:pPr>
        <w:spacing w:after="120"/>
        <w:jc w:val="both"/>
        <w:rPr>
          <w:rFonts w:eastAsia="SimSun"/>
          <w:b/>
          <w:bCs/>
          <w:szCs w:val="24"/>
          <w:lang w:val="en-SE" w:eastAsia="zh-CN"/>
        </w:rPr>
      </w:pPr>
      <w:r w:rsidRPr="004B3A9B">
        <w:rPr>
          <w:rFonts w:eastAsia="SimSun"/>
          <w:b/>
          <w:bCs/>
          <w:szCs w:val="24"/>
          <w:lang w:val="en-SE" w:eastAsia="zh-CN"/>
        </w:rPr>
        <w:t xml:space="preserve">Proposal 7:  RAN4 focuses on the case that “new emission BW” is wider than the maximum UE CBW </w:t>
      </w:r>
      <w:r>
        <w:rPr>
          <w:rFonts w:eastAsia="SimSun"/>
          <w:b/>
          <w:bCs/>
          <w:szCs w:val="24"/>
          <w:lang w:val="en-SE" w:eastAsia="zh-CN"/>
        </w:rPr>
        <w:t xml:space="preserve">that </w:t>
      </w:r>
      <w:r w:rsidRPr="004B3A9B">
        <w:rPr>
          <w:rFonts w:eastAsia="SimSun"/>
          <w:b/>
          <w:bCs/>
          <w:szCs w:val="24"/>
          <w:lang w:val="en-SE" w:eastAsia="zh-CN"/>
        </w:rPr>
        <w:t xml:space="preserve">it can support. </w:t>
      </w:r>
    </w:p>
    <w:p w14:paraId="603A865D" w14:textId="77777777" w:rsidR="009A0B87" w:rsidRDefault="009A0B87" w:rsidP="009A0B87">
      <w:pPr>
        <w:pStyle w:val="BodyText"/>
        <w:jc w:val="both"/>
        <w:rPr>
          <w:b/>
          <w:bCs/>
          <w:lang w:val="en-US"/>
        </w:rPr>
      </w:pPr>
      <w:r>
        <w:rPr>
          <w:b/>
          <w:bCs/>
          <w:lang w:val="en-US"/>
        </w:rPr>
        <w:t xml:space="preserve">Proposal </w:t>
      </w:r>
      <w:r>
        <w:rPr>
          <w:b/>
          <w:bCs/>
          <w:lang w:val="en-SE"/>
        </w:rPr>
        <w:t>8</w:t>
      </w:r>
      <w:r>
        <w:rPr>
          <w:b/>
          <w:bCs/>
          <w:lang w:val="en-US"/>
        </w:rPr>
        <w:t xml:space="preserve">: RAN4 shall examine if the proposed MPR reduction scheme can be enabled for all types of UEs, including TDD and FDD, as well as normal UE, Redcap, and </w:t>
      </w:r>
      <w:proofErr w:type="spellStart"/>
      <w:r>
        <w:rPr>
          <w:b/>
          <w:bCs/>
          <w:lang w:val="en-US"/>
        </w:rPr>
        <w:t>eRedcap</w:t>
      </w:r>
      <w:proofErr w:type="spellEnd"/>
      <w:r>
        <w:rPr>
          <w:b/>
          <w:bCs/>
          <w:lang w:val="en-US"/>
        </w:rPr>
        <w:t xml:space="preserve"> UEs. </w:t>
      </w:r>
    </w:p>
    <w:p w14:paraId="4BE33532" w14:textId="02F34C48" w:rsidR="00BB231D" w:rsidRPr="009A0B87" w:rsidRDefault="009A0B87" w:rsidP="00BB231D">
      <w:pPr>
        <w:pStyle w:val="BodyText"/>
        <w:rPr>
          <w:b/>
          <w:bCs/>
          <w:lang w:val="en-US" w:eastAsia="x-none"/>
        </w:rPr>
      </w:pPr>
      <w:r w:rsidRPr="00052CF7">
        <w:rPr>
          <w:b/>
          <w:bCs/>
          <w:lang w:val="en-US" w:eastAsia="x-none"/>
        </w:rPr>
        <w:t xml:space="preserve">Proposal </w:t>
      </w:r>
      <w:r>
        <w:rPr>
          <w:b/>
          <w:bCs/>
          <w:lang w:val="en-SE" w:eastAsia="x-none"/>
        </w:rPr>
        <w:t>9</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 band capability</w:t>
      </w:r>
      <w:r>
        <w:rPr>
          <w:b/>
          <w:bCs/>
          <w:lang w:val="en-US" w:eastAsia="x-none"/>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5A96E85" w14:textId="1FB233A5" w:rsidR="007C15E5" w:rsidRDefault="007C15E5" w:rsidP="009918C2">
      <w:pPr>
        <w:pStyle w:val="BodyText"/>
        <w:numPr>
          <w:ilvl w:val="0"/>
          <w:numId w:val="7"/>
        </w:numPr>
        <w:jc w:val="both"/>
        <w:rPr>
          <w:lang w:val="en-US"/>
        </w:rPr>
      </w:pPr>
      <w:r w:rsidRPr="007C15E5">
        <w:rPr>
          <w:lang w:val="en-US"/>
        </w:rPr>
        <w:t>R4-2412818</w:t>
      </w:r>
      <w:r w:rsidRPr="007C15E5">
        <w:rPr>
          <w:lang w:val="en-US"/>
        </w:rPr>
        <w:tab/>
        <w:t>Topic summary for [112][116] NR_ENDC_RF_Ph4_part1</w:t>
      </w:r>
      <w:r w:rsidRPr="007C15E5">
        <w:rPr>
          <w:lang w:val="en-US"/>
        </w:rPr>
        <w:tab/>
        <w:t>Moderator(Huawei)</w:t>
      </w:r>
    </w:p>
    <w:p w14:paraId="4DDD36AE" w14:textId="7029C96E" w:rsidR="005F08C1" w:rsidRPr="005F08C1" w:rsidRDefault="005F08C1" w:rsidP="005F08C1">
      <w:pPr>
        <w:pStyle w:val="BodyText"/>
        <w:numPr>
          <w:ilvl w:val="0"/>
          <w:numId w:val="7"/>
        </w:numPr>
        <w:jc w:val="both"/>
        <w:rPr>
          <w:lang w:val="en-US"/>
        </w:rPr>
      </w:pPr>
      <w:r w:rsidRPr="005F08C1">
        <w:rPr>
          <w:lang w:val="en-US"/>
        </w:rPr>
        <w:t>R4-2414441</w:t>
      </w:r>
      <w:r w:rsidRPr="005F08C1">
        <w:rPr>
          <w:lang w:val="en-US"/>
        </w:rPr>
        <w:tab/>
        <w:t>WF on power domain enhancement</w:t>
      </w:r>
      <w:r w:rsidRPr="005F08C1">
        <w:rPr>
          <w:lang w:val="en-US"/>
        </w:rPr>
        <w:tab/>
      </w:r>
      <w:r>
        <w:rPr>
          <w:lang w:val="en-US"/>
        </w:rPr>
        <w:tab/>
      </w:r>
      <w:r w:rsidRPr="005F08C1">
        <w:rPr>
          <w:lang w:val="en-US"/>
        </w:rPr>
        <w:t>Huawei</w:t>
      </w:r>
    </w:p>
    <w:p w14:paraId="2779F742" w14:textId="3E0A9202" w:rsidR="00E805C3" w:rsidRPr="00E805C3" w:rsidRDefault="00E805C3" w:rsidP="00E805C3">
      <w:pPr>
        <w:pStyle w:val="BodyText"/>
        <w:numPr>
          <w:ilvl w:val="0"/>
          <w:numId w:val="7"/>
        </w:numPr>
        <w:jc w:val="both"/>
        <w:rPr>
          <w:lang w:val="en-US"/>
        </w:rPr>
      </w:pPr>
      <w:r w:rsidRPr="00E805C3">
        <w:rPr>
          <w:lang w:val="en-US"/>
        </w:rPr>
        <w:t>R4-2408794</w:t>
      </w:r>
      <w:r>
        <w:rPr>
          <w:lang w:val="en-SE"/>
        </w:rPr>
        <w:t xml:space="preserve"> </w:t>
      </w:r>
      <w:r>
        <w:rPr>
          <w:lang w:val="en-SE"/>
        </w:rPr>
        <w:tab/>
      </w:r>
      <w:r w:rsidRPr="00E805C3">
        <w:rPr>
          <w:lang w:val="en-US"/>
        </w:rPr>
        <w:t>Discussion on power domain enhancements for single carrier</w:t>
      </w:r>
      <w:r w:rsidRPr="00E805C3">
        <w:rPr>
          <w:lang w:val="en-US"/>
        </w:rPr>
        <w:tab/>
        <w:t xml:space="preserve">ZTE Corporation, </w:t>
      </w:r>
      <w:proofErr w:type="spellStart"/>
      <w:r w:rsidRPr="00E805C3">
        <w:rPr>
          <w:lang w:val="en-US"/>
        </w:rPr>
        <w:t>Sanechips</w:t>
      </w:r>
      <w:proofErr w:type="spellEnd"/>
    </w:p>
    <w:p w14:paraId="66736BBC" w14:textId="59B4194F" w:rsidR="0029182F" w:rsidRDefault="005B2E69" w:rsidP="00F15D30">
      <w:pPr>
        <w:pStyle w:val="BodyText"/>
        <w:numPr>
          <w:ilvl w:val="0"/>
          <w:numId w:val="7"/>
        </w:numPr>
        <w:jc w:val="both"/>
        <w:rPr>
          <w:lang w:val="en-US"/>
        </w:rPr>
      </w:pPr>
      <w:r w:rsidRPr="005B2E69">
        <w:rPr>
          <w:lang w:val="en-US"/>
        </w:rPr>
        <w:t>RP-233279</w:t>
      </w:r>
      <w:r w:rsidRPr="005B2E69">
        <w:rPr>
          <w:lang w:val="en-US"/>
        </w:rPr>
        <w:tab/>
        <w:t>MediaTek Views on RAN4 Rel-19: RF and OTA</w:t>
      </w:r>
      <w:r w:rsidRPr="005B2E69">
        <w:rPr>
          <w:lang w:val="en-US"/>
        </w:rPr>
        <w:tab/>
        <w:t>MediaTek Inc.</w:t>
      </w:r>
    </w:p>
    <w:p w14:paraId="1FD3350D" w14:textId="77777777" w:rsidR="00BF4121" w:rsidRDefault="00BF4121" w:rsidP="00BF4121">
      <w:pPr>
        <w:pStyle w:val="BodyText"/>
        <w:jc w:val="both"/>
        <w:rPr>
          <w:lang w:val="en-US"/>
        </w:rPr>
      </w:pPr>
    </w:p>
    <w:p w14:paraId="42611372" w14:textId="77777777" w:rsidR="00BF4121" w:rsidRPr="00F15D30" w:rsidRDefault="00BF4121" w:rsidP="0093578A">
      <w:pPr>
        <w:pStyle w:val="BodyText"/>
        <w:jc w:val="both"/>
        <w:rPr>
          <w:lang w:val="en-US"/>
        </w:rPr>
      </w:pPr>
    </w:p>
    <w:sectPr w:rsidR="00BF4121"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ED6C" w14:textId="77777777" w:rsidR="000339CC" w:rsidRDefault="000339CC">
      <w:r>
        <w:separator/>
      </w:r>
    </w:p>
  </w:endnote>
  <w:endnote w:type="continuationSeparator" w:id="0">
    <w:p w14:paraId="47F6C96F" w14:textId="77777777" w:rsidR="000339CC" w:rsidRDefault="000339CC">
      <w:r>
        <w:continuationSeparator/>
      </w:r>
    </w:p>
  </w:endnote>
  <w:endnote w:type="continuationNotice" w:id="1">
    <w:p w14:paraId="7D12742E" w14:textId="77777777" w:rsidR="000339CC" w:rsidRDefault="0003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467C1" w14:textId="77777777" w:rsidR="000339CC" w:rsidRDefault="000339CC">
      <w:r>
        <w:separator/>
      </w:r>
    </w:p>
  </w:footnote>
  <w:footnote w:type="continuationSeparator" w:id="0">
    <w:p w14:paraId="1688448E" w14:textId="77777777" w:rsidR="000339CC" w:rsidRDefault="000339CC">
      <w:r>
        <w:continuationSeparator/>
      </w:r>
    </w:p>
  </w:footnote>
  <w:footnote w:type="continuationNotice" w:id="1">
    <w:p w14:paraId="0A19DC22" w14:textId="77777777" w:rsidR="000339CC" w:rsidRDefault="000339C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7"/>
  </w:num>
  <w:num w:numId="4" w16cid:durableId="2064253360">
    <w:abstractNumId w:val="9"/>
  </w:num>
  <w:num w:numId="5" w16cid:durableId="1574699480">
    <w:abstractNumId w:val="6"/>
  </w:num>
  <w:num w:numId="6" w16cid:durableId="524296388">
    <w:abstractNumId w:val="15"/>
  </w:num>
  <w:num w:numId="7" w16cid:durableId="362053097">
    <w:abstractNumId w:val="7"/>
  </w:num>
  <w:num w:numId="8" w16cid:durableId="14703188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3"/>
  </w:num>
  <w:num w:numId="10" w16cid:durableId="1606157589">
    <w:abstractNumId w:val="26"/>
  </w:num>
  <w:num w:numId="11" w16cid:durableId="597327424">
    <w:abstractNumId w:val="18"/>
  </w:num>
  <w:num w:numId="12" w16cid:durableId="1051151590">
    <w:abstractNumId w:val="19"/>
  </w:num>
  <w:num w:numId="13" w16cid:durableId="608465823">
    <w:abstractNumId w:val="22"/>
  </w:num>
  <w:num w:numId="14" w16cid:durableId="1120341636">
    <w:abstractNumId w:val="3"/>
  </w:num>
  <w:num w:numId="15" w16cid:durableId="311833355">
    <w:abstractNumId w:val="12"/>
  </w:num>
  <w:num w:numId="16" w16cid:durableId="528177754">
    <w:abstractNumId w:val="5"/>
  </w:num>
  <w:num w:numId="17" w16cid:durableId="1826896981">
    <w:abstractNumId w:val="13"/>
  </w:num>
  <w:num w:numId="18" w16cid:durableId="2103522389">
    <w:abstractNumId w:val="16"/>
  </w:num>
  <w:num w:numId="19" w16cid:durableId="911348756">
    <w:abstractNumId w:val="1"/>
  </w:num>
  <w:num w:numId="20" w16cid:durableId="1176306085">
    <w:abstractNumId w:val="14"/>
  </w:num>
  <w:num w:numId="21" w16cid:durableId="1544829447">
    <w:abstractNumId w:val="4"/>
  </w:num>
  <w:num w:numId="22" w16cid:durableId="1028142797">
    <w:abstractNumId w:val="8"/>
  </w:num>
  <w:num w:numId="23" w16cid:durableId="1684817626">
    <w:abstractNumId w:val="28"/>
  </w:num>
  <w:num w:numId="24" w16cid:durableId="291329454">
    <w:abstractNumId w:val="17"/>
  </w:num>
  <w:num w:numId="25" w16cid:durableId="1053038137">
    <w:abstractNumId w:val="11"/>
  </w:num>
  <w:num w:numId="26" w16cid:durableId="1758860606">
    <w:abstractNumId w:val="20"/>
  </w:num>
  <w:num w:numId="27" w16cid:durableId="643389037">
    <w:abstractNumId w:val="21"/>
  </w:num>
  <w:num w:numId="28" w16cid:durableId="1991136249">
    <w:abstractNumId w:val="11"/>
  </w:num>
  <w:num w:numId="29" w16cid:durableId="1295797661">
    <w:abstractNumId w:val="11"/>
  </w:num>
  <w:num w:numId="30" w16cid:durableId="963121876">
    <w:abstractNumId w:val="2"/>
  </w:num>
  <w:num w:numId="31" w16cid:durableId="1842889906">
    <w:abstractNumId w:val="10"/>
  </w:num>
  <w:num w:numId="32" w16cid:durableId="1205483811">
    <w:abstractNumId w:val="24"/>
  </w:num>
  <w:num w:numId="33" w16cid:durableId="86672408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wFAANZGsYtAAAA"/>
  </w:docVars>
  <w:rsids>
    <w:rsidRoot w:val="00586410"/>
    <w:rsid w:val="000001D0"/>
    <w:rsid w:val="00000CE3"/>
    <w:rsid w:val="00000FA0"/>
    <w:rsid w:val="00001023"/>
    <w:rsid w:val="00001117"/>
    <w:rsid w:val="00001B9D"/>
    <w:rsid w:val="00001BBB"/>
    <w:rsid w:val="00001EAD"/>
    <w:rsid w:val="000020FC"/>
    <w:rsid w:val="00002493"/>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CF"/>
    <w:rsid w:val="00010F79"/>
    <w:rsid w:val="0001115D"/>
    <w:rsid w:val="00011D70"/>
    <w:rsid w:val="00011E18"/>
    <w:rsid w:val="00012053"/>
    <w:rsid w:val="000126F0"/>
    <w:rsid w:val="00012E79"/>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761"/>
    <w:rsid w:val="000A11DF"/>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5"/>
    <w:rsid w:val="000F6DE5"/>
    <w:rsid w:val="000F7079"/>
    <w:rsid w:val="000F76D5"/>
    <w:rsid w:val="000F7949"/>
    <w:rsid w:val="000F7F74"/>
    <w:rsid w:val="000F7F84"/>
    <w:rsid w:val="0010006D"/>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427B"/>
    <w:rsid w:val="00144451"/>
    <w:rsid w:val="0014479A"/>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906"/>
    <w:rsid w:val="00167AE8"/>
    <w:rsid w:val="001700EF"/>
    <w:rsid w:val="001703B2"/>
    <w:rsid w:val="001706CD"/>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4A7"/>
    <w:rsid w:val="001C55AA"/>
    <w:rsid w:val="001C5902"/>
    <w:rsid w:val="001C60E6"/>
    <w:rsid w:val="001C6205"/>
    <w:rsid w:val="001C65BB"/>
    <w:rsid w:val="001C6853"/>
    <w:rsid w:val="001C6A0A"/>
    <w:rsid w:val="001C6D9C"/>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32"/>
    <w:rsid w:val="001F117A"/>
    <w:rsid w:val="001F11C2"/>
    <w:rsid w:val="001F1221"/>
    <w:rsid w:val="001F1E59"/>
    <w:rsid w:val="001F217B"/>
    <w:rsid w:val="001F2180"/>
    <w:rsid w:val="001F249D"/>
    <w:rsid w:val="001F2645"/>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646"/>
    <w:rsid w:val="00246998"/>
    <w:rsid w:val="002475BC"/>
    <w:rsid w:val="00247827"/>
    <w:rsid w:val="00247E0D"/>
    <w:rsid w:val="00250107"/>
    <w:rsid w:val="00250CB0"/>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E4"/>
    <w:rsid w:val="002644D8"/>
    <w:rsid w:val="00264647"/>
    <w:rsid w:val="00264C27"/>
    <w:rsid w:val="00264D38"/>
    <w:rsid w:val="00265436"/>
    <w:rsid w:val="002658F8"/>
    <w:rsid w:val="0026655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6D7"/>
    <w:rsid w:val="003209F1"/>
    <w:rsid w:val="00320A08"/>
    <w:rsid w:val="00320C5A"/>
    <w:rsid w:val="00320CED"/>
    <w:rsid w:val="003213D6"/>
    <w:rsid w:val="003214A2"/>
    <w:rsid w:val="00321C39"/>
    <w:rsid w:val="003223B2"/>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F5B"/>
    <w:rsid w:val="00371F84"/>
    <w:rsid w:val="0037219E"/>
    <w:rsid w:val="003722A1"/>
    <w:rsid w:val="003725EA"/>
    <w:rsid w:val="00372867"/>
    <w:rsid w:val="00373033"/>
    <w:rsid w:val="00373217"/>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C5"/>
    <w:rsid w:val="003E5B84"/>
    <w:rsid w:val="003E605D"/>
    <w:rsid w:val="003E60B7"/>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3AF"/>
    <w:rsid w:val="004059C7"/>
    <w:rsid w:val="00406982"/>
    <w:rsid w:val="0040759A"/>
    <w:rsid w:val="004076B4"/>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4DE"/>
    <w:rsid w:val="004205E8"/>
    <w:rsid w:val="00420695"/>
    <w:rsid w:val="004208DE"/>
    <w:rsid w:val="00420945"/>
    <w:rsid w:val="00420AE4"/>
    <w:rsid w:val="00420E10"/>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D37"/>
    <w:rsid w:val="00433186"/>
    <w:rsid w:val="004338B6"/>
    <w:rsid w:val="00433C22"/>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7287"/>
    <w:rsid w:val="00437578"/>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EF"/>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FA7"/>
    <w:rsid w:val="004D3002"/>
    <w:rsid w:val="004D3103"/>
    <w:rsid w:val="004D3F05"/>
    <w:rsid w:val="004D4A93"/>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2C2"/>
    <w:rsid w:val="004E6EEC"/>
    <w:rsid w:val="004E7119"/>
    <w:rsid w:val="004E734C"/>
    <w:rsid w:val="004E798D"/>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60E"/>
    <w:rsid w:val="0050561D"/>
    <w:rsid w:val="00505A0A"/>
    <w:rsid w:val="00505D85"/>
    <w:rsid w:val="00505EAF"/>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2"/>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2B1"/>
    <w:rsid w:val="00576326"/>
    <w:rsid w:val="0057644B"/>
    <w:rsid w:val="005765CE"/>
    <w:rsid w:val="00576BF4"/>
    <w:rsid w:val="0057710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1FD7"/>
    <w:rsid w:val="005921DB"/>
    <w:rsid w:val="00592BE6"/>
    <w:rsid w:val="00593110"/>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40F1"/>
    <w:rsid w:val="005E416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C84"/>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DA2"/>
    <w:rsid w:val="00610DF5"/>
    <w:rsid w:val="00611006"/>
    <w:rsid w:val="00611C5C"/>
    <w:rsid w:val="00612436"/>
    <w:rsid w:val="00612698"/>
    <w:rsid w:val="00613373"/>
    <w:rsid w:val="00613487"/>
    <w:rsid w:val="0061355F"/>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F06"/>
    <w:rsid w:val="00623F3D"/>
    <w:rsid w:val="006242D2"/>
    <w:rsid w:val="006249EC"/>
    <w:rsid w:val="00624B90"/>
    <w:rsid w:val="00624C24"/>
    <w:rsid w:val="00624C3B"/>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F64"/>
    <w:rsid w:val="00643119"/>
    <w:rsid w:val="00643462"/>
    <w:rsid w:val="0064358C"/>
    <w:rsid w:val="00643830"/>
    <w:rsid w:val="00643FDA"/>
    <w:rsid w:val="00644033"/>
    <w:rsid w:val="006441EE"/>
    <w:rsid w:val="00644404"/>
    <w:rsid w:val="00644629"/>
    <w:rsid w:val="0064474F"/>
    <w:rsid w:val="00644AAE"/>
    <w:rsid w:val="00644D3A"/>
    <w:rsid w:val="00645187"/>
    <w:rsid w:val="00645334"/>
    <w:rsid w:val="006454E0"/>
    <w:rsid w:val="00645C4C"/>
    <w:rsid w:val="00646406"/>
    <w:rsid w:val="006465E3"/>
    <w:rsid w:val="00646603"/>
    <w:rsid w:val="006469EB"/>
    <w:rsid w:val="00646FC9"/>
    <w:rsid w:val="0064770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11"/>
    <w:rsid w:val="00697CC7"/>
    <w:rsid w:val="006A001D"/>
    <w:rsid w:val="006A0035"/>
    <w:rsid w:val="006A0BBA"/>
    <w:rsid w:val="006A0C69"/>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700"/>
    <w:rsid w:val="006B0862"/>
    <w:rsid w:val="006B0CDC"/>
    <w:rsid w:val="006B0D8B"/>
    <w:rsid w:val="006B149F"/>
    <w:rsid w:val="006B256C"/>
    <w:rsid w:val="006B2A5D"/>
    <w:rsid w:val="006B2ED2"/>
    <w:rsid w:val="006B46C4"/>
    <w:rsid w:val="006B46DA"/>
    <w:rsid w:val="006B4C48"/>
    <w:rsid w:val="006B4D45"/>
    <w:rsid w:val="006B4E91"/>
    <w:rsid w:val="006B51E5"/>
    <w:rsid w:val="006B5AF6"/>
    <w:rsid w:val="006B5B52"/>
    <w:rsid w:val="006B5D77"/>
    <w:rsid w:val="006B62B9"/>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0D5"/>
    <w:rsid w:val="006F52D0"/>
    <w:rsid w:val="006F55AF"/>
    <w:rsid w:val="006F5979"/>
    <w:rsid w:val="006F5F01"/>
    <w:rsid w:val="006F62F0"/>
    <w:rsid w:val="006F7383"/>
    <w:rsid w:val="006F7961"/>
    <w:rsid w:val="006F7C2B"/>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C8"/>
    <w:rsid w:val="00722970"/>
    <w:rsid w:val="00722BAE"/>
    <w:rsid w:val="00723553"/>
    <w:rsid w:val="00723E41"/>
    <w:rsid w:val="007244AC"/>
    <w:rsid w:val="007258D8"/>
    <w:rsid w:val="00725A1E"/>
    <w:rsid w:val="0072638D"/>
    <w:rsid w:val="007264EB"/>
    <w:rsid w:val="0072662D"/>
    <w:rsid w:val="0072677A"/>
    <w:rsid w:val="00726ADA"/>
    <w:rsid w:val="00726C33"/>
    <w:rsid w:val="00726C67"/>
    <w:rsid w:val="00727112"/>
    <w:rsid w:val="0072756C"/>
    <w:rsid w:val="00727AD3"/>
    <w:rsid w:val="00727BD9"/>
    <w:rsid w:val="00727E5D"/>
    <w:rsid w:val="00727FD5"/>
    <w:rsid w:val="00727FE8"/>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312"/>
    <w:rsid w:val="007575FB"/>
    <w:rsid w:val="00757661"/>
    <w:rsid w:val="0075778F"/>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7F74B7"/>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61E"/>
    <w:rsid w:val="00813D8C"/>
    <w:rsid w:val="0081408D"/>
    <w:rsid w:val="0081430E"/>
    <w:rsid w:val="00814ABB"/>
    <w:rsid w:val="00814E9D"/>
    <w:rsid w:val="00815795"/>
    <w:rsid w:val="0081593C"/>
    <w:rsid w:val="00815BB4"/>
    <w:rsid w:val="00815C98"/>
    <w:rsid w:val="00817397"/>
    <w:rsid w:val="00817548"/>
    <w:rsid w:val="00820314"/>
    <w:rsid w:val="008206D9"/>
    <w:rsid w:val="008208B0"/>
    <w:rsid w:val="00820DAA"/>
    <w:rsid w:val="008211D3"/>
    <w:rsid w:val="00821418"/>
    <w:rsid w:val="00821559"/>
    <w:rsid w:val="008216C5"/>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43D6"/>
    <w:rsid w:val="008546D0"/>
    <w:rsid w:val="008547B9"/>
    <w:rsid w:val="00854829"/>
    <w:rsid w:val="00854D1F"/>
    <w:rsid w:val="0085511F"/>
    <w:rsid w:val="008557F3"/>
    <w:rsid w:val="008560E4"/>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ED8"/>
    <w:rsid w:val="00874F36"/>
    <w:rsid w:val="00875281"/>
    <w:rsid w:val="00875409"/>
    <w:rsid w:val="008754B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95C"/>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B34"/>
    <w:rsid w:val="008C1D6A"/>
    <w:rsid w:val="008C1F3D"/>
    <w:rsid w:val="008C22D0"/>
    <w:rsid w:val="008C2A30"/>
    <w:rsid w:val="008C2A5A"/>
    <w:rsid w:val="008C2F86"/>
    <w:rsid w:val="008C3196"/>
    <w:rsid w:val="008C36A0"/>
    <w:rsid w:val="008C3ACA"/>
    <w:rsid w:val="008C3B74"/>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0C4"/>
    <w:rsid w:val="008F5B43"/>
    <w:rsid w:val="008F5E1F"/>
    <w:rsid w:val="008F6225"/>
    <w:rsid w:val="008F6816"/>
    <w:rsid w:val="008F6BD2"/>
    <w:rsid w:val="008F6F22"/>
    <w:rsid w:val="008F7467"/>
    <w:rsid w:val="008F7BD0"/>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A0205"/>
    <w:rsid w:val="009A06F5"/>
    <w:rsid w:val="009A0B87"/>
    <w:rsid w:val="009A0C65"/>
    <w:rsid w:val="009A1184"/>
    <w:rsid w:val="009A19CE"/>
    <w:rsid w:val="009A1ADE"/>
    <w:rsid w:val="009A1BE6"/>
    <w:rsid w:val="009A1EB1"/>
    <w:rsid w:val="009A1ECE"/>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B49"/>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8F9"/>
    <w:rsid w:val="00A179DC"/>
    <w:rsid w:val="00A20619"/>
    <w:rsid w:val="00A20628"/>
    <w:rsid w:val="00A20DD0"/>
    <w:rsid w:val="00A20FA9"/>
    <w:rsid w:val="00A21481"/>
    <w:rsid w:val="00A21D9C"/>
    <w:rsid w:val="00A2314D"/>
    <w:rsid w:val="00A234D2"/>
    <w:rsid w:val="00A2362D"/>
    <w:rsid w:val="00A236DE"/>
    <w:rsid w:val="00A23D1E"/>
    <w:rsid w:val="00A23EE2"/>
    <w:rsid w:val="00A241AA"/>
    <w:rsid w:val="00A24317"/>
    <w:rsid w:val="00A243A3"/>
    <w:rsid w:val="00A24D6F"/>
    <w:rsid w:val="00A24FD6"/>
    <w:rsid w:val="00A2501F"/>
    <w:rsid w:val="00A25781"/>
    <w:rsid w:val="00A258F9"/>
    <w:rsid w:val="00A26156"/>
    <w:rsid w:val="00A2652C"/>
    <w:rsid w:val="00A26BC8"/>
    <w:rsid w:val="00A26CCA"/>
    <w:rsid w:val="00A27522"/>
    <w:rsid w:val="00A275B9"/>
    <w:rsid w:val="00A27B6B"/>
    <w:rsid w:val="00A27E76"/>
    <w:rsid w:val="00A30173"/>
    <w:rsid w:val="00A304EB"/>
    <w:rsid w:val="00A30FAE"/>
    <w:rsid w:val="00A310BE"/>
    <w:rsid w:val="00A31469"/>
    <w:rsid w:val="00A315C7"/>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06"/>
    <w:rsid w:val="00AA4C84"/>
    <w:rsid w:val="00AA4CB7"/>
    <w:rsid w:val="00AA4F2B"/>
    <w:rsid w:val="00AA55D1"/>
    <w:rsid w:val="00AA573E"/>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AB4"/>
    <w:rsid w:val="00AE3611"/>
    <w:rsid w:val="00AE3C17"/>
    <w:rsid w:val="00AE416A"/>
    <w:rsid w:val="00AE4549"/>
    <w:rsid w:val="00AE456E"/>
    <w:rsid w:val="00AE4931"/>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F89"/>
    <w:rsid w:val="00B02A22"/>
    <w:rsid w:val="00B02AB8"/>
    <w:rsid w:val="00B02F6F"/>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72C1"/>
    <w:rsid w:val="00B07D79"/>
    <w:rsid w:val="00B07D9B"/>
    <w:rsid w:val="00B07EF7"/>
    <w:rsid w:val="00B1039B"/>
    <w:rsid w:val="00B1111C"/>
    <w:rsid w:val="00B115A1"/>
    <w:rsid w:val="00B11678"/>
    <w:rsid w:val="00B11C49"/>
    <w:rsid w:val="00B1213C"/>
    <w:rsid w:val="00B12392"/>
    <w:rsid w:val="00B123DF"/>
    <w:rsid w:val="00B123FE"/>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189"/>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4E3"/>
    <w:rsid w:val="00B646BC"/>
    <w:rsid w:val="00B6475A"/>
    <w:rsid w:val="00B64A6B"/>
    <w:rsid w:val="00B64BD6"/>
    <w:rsid w:val="00B64F9E"/>
    <w:rsid w:val="00B65195"/>
    <w:rsid w:val="00B654DC"/>
    <w:rsid w:val="00B655F9"/>
    <w:rsid w:val="00B65B14"/>
    <w:rsid w:val="00B65D83"/>
    <w:rsid w:val="00B66031"/>
    <w:rsid w:val="00B671D4"/>
    <w:rsid w:val="00B672BC"/>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02"/>
    <w:rsid w:val="00B83AD2"/>
    <w:rsid w:val="00B83B9E"/>
    <w:rsid w:val="00B83E30"/>
    <w:rsid w:val="00B83E7F"/>
    <w:rsid w:val="00B84136"/>
    <w:rsid w:val="00B84210"/>
    <w:rsid w:val="00B84772"/>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17"/>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2AC"/>
    <w:rsid w:val="00BE0A23"/>
    <w:rsid w:val="00BE0A6D"/>
    <w:rsid w:val="00BE1169"/>
    <w:rsid w:val="00BE1494"/>
    <w:rsid w:val="00BE168A"/>
    <w:rsid w:val="00BE1840"/>
    <w:rsid w:val="00BE1B14"/>
    <w:rsid w:val="00BE1D19"/>
    <w:rsid w:val="00BE1FEF"/>
    <w:rsid w:val="00BE2419"/>
    <w:rsid w:val="00BE2543"/>
    <w:rsid w:val="00BE2CE4"/>
    <w:rsid w:val="00BE32AE"/>
    <w:rsid w:val="00BE3F53"/>
    <w:rsid w:val="00BE4213"/>
    <w:rsid w:val="00BE4636"/>
    <w:rsid w:val="00BE4672"/>
    <w:rsid w:val="00BE4A48"/>
    <w:rsid w:val="00BE4B75"/>
    <w:rsid w:val="00BE4D2E"/>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9F7"/>
    <w:rsid w:val="00BF1B76"/>
    <w:rsid w:val="00BF1C71"/>
    <w:rsid w:val="00BF1F36"/>
    <w:rsid w:val="00BF1FCD"/>
    <w:rsid w:val="00BF2151"/>
    <w:rsid w:val="00BF262D"/>
    <w:rsid w:val="00BF2681"/>
    <w:rsid w:val="00BF2796"/>
    <w:rsid w:val="00BF2A21"/>
    <w:rsid w:val="00BF339A"/>
    <w:rsid w:val="00BF35F1"/>
    <w:rsid w:val="00BF39B0"/>
    <w:rsid w:val="00BF3AF6"/>
    <w:rsid w:val="00BF3EC9"/>
    <w:rsid w:val="00BF3F22"/>
    <w:rsid w:val="00BF4121"/>
    <w:rsid w:val="00BF4694"/>
    <w:rsid w:val="00BF46C4"/>
    <w:rsid w:val="00BF4D4C"/>
    <w:rsid w:val="00BF56F7"/>
    <w:rsid w:val="00BF59F0"/>
    <w:rsid w:val="00BF6051"/>
    <w:rsid w:val="00BF610B"/>
    <w:rsid w:val="00BF66D5"/>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21B"/>
    <w:rsid w:val="00C47852"/>
    <w:rsid w:val="00C478CD"/>
    <w:rsid w:val="00C47DE4"/>
    <w:rsid w:val="00C50080"/>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A8"/>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BC2"/>
    <w:rsid w:val="00CD2BFE"/>
    <w:rsid w:val="00CD2DD3"/>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322F"/>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6C"/>
    <w:rsid w:val="00DE6479"/>
    <w:rsid w:val="00DE7008"/>
    <w:rsid w:val="00DE735F"/>
    <w:rsid w:val="00DE7F0B"/>
    <w:rsid w:val="00DF03B5"/>
    <w:rsid w:val="00DF04B8"/>
    <w:rsid w:val="00DF0634"/>
    <w:rsid w:val="00DF0821"/>
    <w:rsid w:val="00DF0977"/>
    <w:rsid w:val="00DF0BFB"/>
    <w:rsid w:val="00DF0C01"/>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E01"/>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975"/>
    <w:rsid w:val="00E16B32"/>
    <w:rsid w:val="00E1760A"/>
    <w:rsid w:val="00E17923"/>
    <w:rsid w:val="00E17B55"/>
    <w:rsid w:val="00E17CBB"/>
    <w:rsid w:val="00E20065"/>
    <w:rsid w:val="00E2041A"/>
    <w:rsid w:val="00E20D3B"/>
    <w:rsid w:val="00E20DCD"/>
    <w:rsid w:val="00E21426"/>
    <w:rsid w:val="00E219BF"/>
    <w:rsid w:val="00E21E64"/>
    <w:rsid w:val="00E21F21"/>
    <w:rsid w:val="00E22900"/>
    <w:rsid w:val="00E22CFB"/>
    <w:rsid w:val="00E22DEE"/>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9D2"/>
    <w:rsid w:val="00E47B42"/>
    <w:rsid w:val="00E47CD9"/>
    <w:rsid w:val="00E47F5D"/>
    <w:rsid w:val="00E50D5D"/>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D72"/>
    <w:rsid w:val="00EC4841"/>
    <w:rsid w:val="00EC4E2F"/>
    <w:rsid w:val="00EC4EFA"/>
    <w:rsid w:val="00EC50E2"/>
    <w:rsid w:val="00EC5178"/>
    <w:rsid w:val="00EC5303"/>
    <w:rsid w:val="00EC534F"/>
    <w:rsid w:val="00EC5861"/>
    <w:rsid w:val="00EC5BBF"/>
    <w:rsid w:val="00EC5BC2"/>
    <w:rsid w:val="00EC5ED1"/>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E028F"/>
    <w:rsid w:val="00EE0941"/>
    <w:rsid w:val="00EE0DC1"/>
    <w:rsid w:val="00EE1115"/>
    <w:rsid w:val="00EE1337"/>
    <w:rsid w:val="00EE1A36"/>
    <w:rsid w:val="00EE1D98"/>
    <w:rsid w:val="00EE1ECD"/>
    <w:rsid w:val="00EE20C6"/>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6CFC"/>
    <w:rsid w:val="00EE6ECC"/>
    <w:rsid w:val="00EE6FF3"/>
    <w:rsid w:val="00EE74CA"/>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2B2D"/>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100D9"/>
    <w:rsid w:val="00F10B2B"/>
    <w:rsid w:val="00F10BA2"/>
    <w:rsid w:val="00F110DB"/>
    <w:rsid w:val="00F113DB"/>
    <w:rsid w:val="00F116E6"/>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715C"/>
    <w:rsid w:val="00F473F1"/>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72"/>
    <w:rsid w:val="00F65065"/>
    <w:rsid w:val="00F65237"/>
    <w:rsid w:val="00F65952"/>
    <w:rsid w:val="00F66512"/>
    <w:rsid w:val="00F66B18"/>
    <w:rsid w:val="00F671B2"/>
    <w:rsid w:val="00F67327"/>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6"/>
    <w:rsid w:val="00FC7540"/>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1887</Words>
  <Characters>9190</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2024-10-07T07:12:00Z</dcterms:created>
  <dcterms:modified xsi:type="dcterms:W3CDTF">2024-10-07T14:47:00Z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